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3A6" w:rsidRPr="00EB5296" w:rsidRDefault="000A3034" w:rsidP="007E68CF">
      <w:pPr>
        <w:spacing w:after="0" w:line="240" w:lineRule="auto"/>
        <w:ind w:right="88"/>
        <w:jc w:val="center"/>
        <w:rPr>
          <w:rFonts w:asciiTheme="minorHAnsi" w:eastAsia="Arial" w:hAnsiTheme="minorHAnsi" w:cstheme="minorHAnsi"/>
          <w:b/>
          <w:bCs/>
          <w:position w:val="-1"/>
          <w:sz w:val="30"/>
          <w:szCs w:val="30"/>
        </w:rPr>
      </w:pPr>
      <w:r w:rsidRPr="00EB5296">
        <w:rPr>
          <w:rFonts w:asciiTheme="minorHAnsi" w:eastAsia="Arial" w:hAnsiTheme="minorHAnsi" w:cstheme="minorHAnsi"/>
          <w:b/>
          <w:bCs/>
          <w:position w:val="-1"/>
          <w:sz w:val="30"/>
          <w:szCs w:val="30"/>
        </w:rPr>
        <w:t>Terms of References</w:t>
      </w:r>
    </w:p>
    <w:p w:rsidR="00A752AE" w:rsidRDefault="00A752AE" w:rsidP="008D3EA2">
      <w:pPr>
        <w:spacing w:before="50" w:after="0" w:line="240" w:lineRule="auto"/>
        <w:ind w:right="88"/>
        <w:jc w:val="center"/>
        <w:rPr>
          <w:rFonts w:asciiTheme="minorHAnsi" w:eastAsia="Arial" w:hAnsiTheme="minorHAnsi" w:cstheme="minorHAnsi"/>
          <w:b/>
          <w:bCs/>
          <w:position w:val="-1"/>
          <w:sz w:val="30"/>
          <w:szCs w:val="30"/>
          <w:u w:val="single"/>
        </w:rPr>
      </w:pPr>
      <w:r w:rsidRPr="00A752AE">
        <w:rPr>
          <w:rFonts w:asciiTheme="minorHAnsi" w:eastAsia="Arial" w:hAnsiTheme="minorHAnsi" w:cstheme="minorHAnsi"/>
          <w:b/>
          <w:bCs/>
          <w:position w:val="-1"/>
          <w:sz w:val="30"/>
          <w:szCs w:val="30"/>
          <w:u w:val="single"/>
        </w:rPr>
        <w:t xml:space="preserve">International Consulting Firms (Service Provider) for </w:t>
      </w:r>
    </w:p>
    <w:p w:rsidR="00A752AE" w:rsidRDefault="00A752AE" w:rsidP="008D3EA2">
      <w:pPr>
        <w:spacing w:before="50" w:after="0" w:line="240" w:lineRule="auto"/>
        <w:ind w:right="88"/>
        <w:jc w:val="center"/>
        <w:rPr>
          <w:rFonts w:asciiTheme="minorHAnsi" w:eastAsia="Arial" w:hAnsiTheme="minorHAnsi" w:cstheme="minorHAnsi"/>
          <w:b/>
          <w:bCs/>
          <w:position w:val="-1"/>
          <w:sz w:val="30"/>
          <w:szCs w:val="30"/>
          <w:u w:val="single"/>
        </w:rPr>
      </w:pPr>
      <w:r w:rsidRPr="00A752AE">
        <w:rPr>
          <w:rFonts w:asciiTheme="minorHAnsi" w:eastAsia="Arial" w:hAnsiTheme="minorHAnsi" w:cstheme="minorHAnsi"/>
          <w:b/>
          <w:bCs/>
          <w:position w:val="-1"/>
          <w:sz w:val="30"/>
          <w:szCs w:val="30"/>
          <w:u w:val="single"/>
        </w:rPr>
        <w:t xml:space="preserve">Asset Quality Review (AQR) in Banks </w:t>
      </w:r>
    </w:p>
    <w:p w:rsidR="008D3EA2" w:rsidRPr="00EB5296" w:rsidRDefault="008D3EA2" w:rsidP="008D3EA2">
      <w:pPr>
        <w:spacing w:before="50" w:after="0" w:line="240" w:lineRule="auto"/>
        <w:ind w:right="88"/>
        <w:jc w:val="center"/>
        <w:rPr>
          <w:rFonts w:asciiTheme="minorHAnsi" w:eastAsia="Arial" w:hAnsiTheme="minorHAnsi" w:cstheme="minorHAnsi"/>
          <w:b/>
          <w:bCs/>
          <w:position w:val="-1"/>
          <w:sz w:val="30"/>
          <w:szCs w:val="30"/>
        </w:rPr>
      </w:pPr>
      <w:r w:rsidRPr="00EB5296">
        <w:rPr>
          <w:rFonts w:asciiTheme="minorHAnsi" w:eastAsia="Arial" w:hAnsiTheme="minorHAnsi" w:cstheme="minorHAnsi"/>
          <w:b/>
          <w:bCs/>
          <w:position w:val="-1"/>
          <w:sz w:val="30"/>
          <w:szCs w:val="30"/>
        </w:rPr>
        <w:t>Package no. S-1_PPA_FSSP-II</w:t>
      </w:r>
    </w:p>
    <w:p w:rsidR="004833A6" w:rsidRPr="00EB5296" w:rsidRDefault="004833A6" w:rsidP="007E68CF">
      <w:pPr>
        <w:spacing w:after="0" w:line="240" w:lineRule="auto"/>
        <w:ind w:right="88"/>
        <w:jc w:val="center"/>
        <w:rPr>
          <w:rFonts w:asciiTheme="minorHAnsi" w:eastAsia="Arial" w:hAnsiTheme="minorHAnsi" w:cstheme="minorHAnsi"/>
          <w:b/>
          <w:bCs/>
          <w:position w:val="-1"/>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bCs/>
          <w:sz w:val="24"/>
          <w:szCs w:val="24"/>
        </w:rPr>
        <w:t>Background:</w:t>
      </w:r>
      <w:r w:rsidRPr="00EB5296">
        <w:rPr>
          <w:rFonts w:asciiTheme="minorHAnsi" w:hAnsiTheme="minorHAnsi" w:cstheme="minorHAnsi"/>
          <w:sz w:val="24"/>
          <w:szCs w:val="24"/>
        </w:rPr>
        <w:t xml:space="preserve"> The Bangladesh Bank (BB) has decided to undertake a risk-based ‘Diagnostic Study’ (DS) to identify and assess the potential risks and vulnerabilities of banks’ financial statements with a view to ensuring the stability and soundness of the banking system and also guide, where appropriate, further improvement of banks’ overall risk management framework. The biggest risk</w:t>
      </w:r>
      <w:r w:rsidR="001619DD" w:rsidRPr="00EB5296">
        <w:rPr>
          <w:rFonts w:asciiTheme="minorHAnsi" w:hAnsiTheme="minorHAnsi" w:cstheme="minorHAnsi"/>
          <w:sz w:val="24"/>
          <w:szCs w:val="24"/>
        </w:rPr>
        <w:t>s faced by the banks are credit</w:t>
      </w:r>
      <w:r w:rsidRPr="00EB5296">
        <w:rPr>
          <w:rFonts w:asciiTheme="minorHAnsi" w:hAnsiTheme="minorHAnsi" w:cstheme="minorHAnsi"/>
          <w:sz w:val="24"/>
          <w:szCs w:val="24"/>
        </w:rPr>
        <w:t xml:space="preserve"> and liquidity risks. The purpose of this exercise is to ensure whether banks’ assets are valued, reported and provisioned in line with prud</w:t>
      </w:r>
      <w:r w:rsidR="001619DD" w:rsidRPr="00EB5296">
        <w:rPr>
          <w:rFonts w:asciiTheme="minorHAnsi" w:hAnsiTheme="minorHAnsi" w:cstheme="minorHAnsi"/>
          <w:sz w:val="24"/>
          <w:szCs w:val="24"/>
        </w:rPr>
        <w:t>ential regulations issued by BB</w:t>
      </w:r>
      <w:r w:rsidRPr="00EB5296">
        <w:rPr>
          <w:rFonts w:asciiTheme="minorHAnsi" w:hAnsiTheme="minorHAnsi" w:cstheme="minorHAnsi"/>
          <w:sz w:val="24"/>
          <w:szCs w:val="24"/>
        </w:rPr>
        <w:t xml:space="preserve"> and that banks have adequate capital to absorb expected losses on non-performing assets, other exposures and foreign exchange holdings. </w:t>
      </w:r>
    </w:p>
    <w:p w:rsidR="004833A6" w:rsidRPr="00EB5296" w:rsidRDefault="004833A6">
      <w:pPr>
        <w:pStyle w:val="ListParagraph"/>
        <w:widowControl/>
        <w:spacing w:after="0" w:line="240" w:lineRule="auto"/>
        <w:ind w:left="0"/>
        <w:jc w:val="both"/>
        <w:rPr>
          <w:rFonts w:asciiTheme="minorHAnsi" w:hAnsiTheme="minorHAnsi" w:cstheme="minorHAnsi"/>
          <w:sz w:val="24"/>
          <w:szCs w:val="24"/>
        </w:rPr>
      </w:pPr>
    </w:p>
    <w:p w:rsidR="004833A6" w:rsidRPr="00EB5296" w:rsidRDefault="000A3034">
      <w:pPr>
        <w:pStyle w:val="ListParagraph"/>
        <w:spacing w:after="0" w:line="240" w:lineRule="auto"/>
        <w:ind w:left="0"/>
        <w:jc w:val="both"/>
        <w:rPr>
          <w:rFonts w:asciiTheme="minorHAnsi" w:hAnsiTheme="minorHAnsi" w:cstheme="minorHAnsi"/>
          <w:sz w:val="24"/>
          <w:szCs w:val="24"/>
        </w:rPr>
      </w:pPr>
      <w:r w:rsidRPr="00EB5296">
        <w:rPr>
          <w:rFonts w:asciiTheme="minorHAnsi" w:hAnsiTheme="minorHAnsi" w:cstheme="minorHAnsi"/>
          <w:sz w:val="24"/>
          <w:szCs w:val="24"/>
        </w:rPr>
        <w:t>The DS will also assess the adequacy of banks’ accounting and credit risk management practices, processes, impairments and reporting of credit facilities in compliance with prudential regulations issued by BB on classification, recognition and measurement of financial assets and definitions of related-parties, through identification of single borrower and large exposure limits, including related and/or connected parties, identification and management of willful defaulters and foreign currency exposures including net open positions.</w:t>
      </w:r>
    </w:p>
    <w:p w:rsidR="004833A6" w:rsidRPr="00EB5296" w:rsidRDefault="004833A6">
      <w:pPr>
        <w:pStyle w:val="ListParagraph"/>
        <w:spacing w:after="0" w:line="240" w:lineRule="auto"/>
        <w:ind w:left="0"/>
        <w:jc w:val="both"/>
        <w:rPr>
          <w:rFonts w:asciiTheme="minorHAnsi" w:hAnsiTheme="minorHAnsi" w:cstheme="minorHAnsi"/>
          <w:sz w:val="24"/>
          <w:szCs w:val="24"/>
        </w:rPr>
      </w:pPr>
    </w:p>
    <w:p w:rsidR="004833A6" w:rsidRPr="00EB5296" w:rsidRDefault="000A3034">
      <w:pPr>
        <w:pStyle w:val="ListParagraph"/>
        <w:spacing w:after="0" w:line="240" w:lineRule="auto"/>
        <w:ind w:left="0"/>
        <w:jc w:val="both"/>
        <w:rPr>
          <w:rFonts w:asciiTheme="minorHAnsi" w:hAnsiTheme="minorHAnsi" w:cstheme="minorHAnsi"/>
          <w:sz w:val="24"/>
          <w:szCs w:val="24"/>
        </w:rPr>
      </w:pPr>
      <w:r w:rsidRPr="00EB5296">
        <w:rPr>
          <w:rFonts w:asciiTheme="minorHAnsi" w:hAnsiTheme="minorHAnsi" w:cstheme="minorHAnsi"/>
          <w:sz w:val="24"/>
          <w:szCs w:val="24"/>
        </w:rPr>
        <w:t>The exercise will allow the BB to verify the viability (through adequacy of capital of the participating banks on a 3-year forward-looking basis, taking into account any adjustments to asset classification, valuation, expected provisioning/loss reserve levels.</w:t>
      </w:r>
    </w:p>
    <w:p w:rsidR="004833A6" w:rsidRPr="00EB5296" w:rsidRDefault="004833A6">
      <w:pPr>
        <w:pStyle w:val="ListParagraph"/>
        <w:spacing w:after="0" w:line="240" w:lineRule="auto"/>
        <w:ind w:left="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bCs/>
          <w:sz w:val="24"/>
          <w:szCs w:val="24"/>
        </w:rPr>
        <w:t>Objectives of the assignments:</w:t>
      </w:r>
      <w:r w:rsidRPr="00EB5296">
        <w:rPr>
          <w:rFonts w:asciiTheme="minorHAnsi" w:hAnsiTheme="minorHAnsi" w:cstheme="minorHAnsi"/>
          <w:sz w:val="24"/>
          <w:szCs w:val="24"/>
        </w:rPr>
        <w:t xml:space="preserve"> The objective of the assignment is to assess the adequacy of banks’ accounting and credit risk management practices, processes, impairments and reporting of credit facilities in compliance with prudential regulations issued by BB on classification, recognition and measurement of financial assets and definitions of related-parties, through identification of single borrower and large exposure limits, including related and/or connected parties, identification and management of willful defaulters and foreign currency exposures including net open positions.</w:t>
      </w:r>
    </w:p>
    <w:p w:rsidR="004833A6" w:rsidRPr="00EB5296" w:rsidRDefault="004833A6">
      <w:pPr>
        <w:pStyle w:val="ListParagraph"/>
        <w:widowControl/>
        <w:spacing w:after="0" w:line="240" w:lineRule="auto"/>
        <w:ind w:left="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b/>
          <w:bCs/>
          <w:sz w:val="24"/>
          <w:szCs w:val="24"/>
        </w:rPr>
      </w:pPr>
      <w:r w:rsidRPr="00EB5296">
        <w:rPr>
          <w:rFonts w:asciiTheme="minorHAnsi" w:hAnsiTheme="minorHAnsi" w:cstheme="minorHAnsi"/>
          <w:b/>
          <w:bCs/>
          <w:sz w:val="24"/>
          <w:szCs w:val="24"/>
        </w:rPr>
        <w:t>Scope of services:</w:t>
      </w:r>
    </w:p>
    <w:p w:rsidR="004833A6" w:rsidRPr="00EB5296" w:rsidRDefault="004833A6">
      <w:pPr>
        <w:pStyle w:val="ListParagraph"/>
        <w:widowControl/>
        <w:spacing w:after="0" w:line="240" w:lineRule="auto"/>
        <w:ind w:left="0"/>
        <w:jc w:val="both"/>
        <w:rPr>
          <w:rFonts w:asciiTheme="minorHAnsi" w:hAnsiTheme="minorHAnsi" w:cstheme="minorHAnsi"/>
          <w:b/>
          <w:bCs/>
          <w:sz w:val="24"/>
          <w:szCs w:val="24"/>
        </w:rPr>
      </w:pPr>
    </w:p>
    <w:p w:rsidR="004833A6" w:rsidRPr="00EB5296" w:rsidRDefault="000A3034">
      <w:pPr>
        <w:spacing w:after="0" w:line="240" w:lineRule="auto"/>
        <w:ind w:left="360" w:hanging="360"/>
        <w:jc w:val="both"/>
        <w:rPr>
          <w:rFonts w:asciiTheme="minorHAnsi" w:hAnsiTheme="minorHAnsi" w:cstheme="minorHAnsi"/>
          <w:sz w:val="24"/>
          <w:szCs w:val="24"/>
        </w:rPr>
      </w:pPr>
      <w:r w:rsidRPr="00EB5296">
        <w:rPr>
          <w:rFonts w:asciiTheme="minorHAnsi" w:hAnsiTheme="minorHAnsi" w:cstheme="minorHAnsi"/>
          <w:sz w:val="24"/>
          <w:szCs w:val="24"/>
        </w:rPr>
        <w:t>The assessment will comprise two stages:</w:t>
      </w:r>
    </w:p>
    <w:p w:rsidR="004833A6" w:rsidRPr="00EB5296" w:rsidRDefault="000A3034">
      <w:pPr>
        <w:tabs>
          <w:tab w:val="left" w:pos="2487"/>
        </w:tabs>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b/>
      </w:r>
    </w:p>
    <w:p w:rsidR="004833A6" w:rsidRPr="00EB5296" w:rsidRDefault="000A3034">
      <w:pPr>
        <w:pStyle w:val="ListParagraph"/>
        <w:widowControl/>
        <w:numPr>
          <w:ilvl w:val="0"/>
          <w:numId w:val="2"/>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First Stage: Assessment of asset quality, adequacy of Regulatory and Tier 1 capital against international and local standards and a comprehensive evaluation of banks’ credit risk management procedures, processes, and practices.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2"/>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Second Stage: Assessment of Regulatory and Tier 1 capital adequacy in a 3-year horizon and according to baseline and adverse macroeconomic scenarios. </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The assessment will be based on fair, prudent, and realistic assumptions consistently </w:t>
      </w:r>
      <w:r w:rsidRPr="00EB5296">
        <w:rPr>
          <w:rFonts w:asciiTheme="minorHAnsi" w:hAnsiTheme="minorHAnsi" w:cstheme="minorHAnsi"/>
          <w:sz w:val="24"/>
          <w:szCs w:val="24"/>
        </w:rPr>
        <w:lastRenderedPageBreak/>
        <w:t xml:space="preserve">applied to all banks. The International </w:t>
      </w:r>
      <w:bookmarkStart w:id="0" w:name="_Hlk196164634"/>
      <w:r w:rsidRPr="00EB5296">
        <w:rPr>
          <w:rFonts w:asciiTheme="minorHAnsi" w:hAnsiTheme="minorHAnsi" w:cstheme="minorHAnsi"/>
          <w:sz w:val="24"/>
          <w:szCs w:val="24"/>
        </w:rPr>
        <w:t>service provider</w:t>
      </w:r>
      <w:bookmarkEnd w:id="0"/>
      <w:r w:rsidRPr="00EB5296">
        <w:rPr>
          <w:rFonts w:asciiTheme="minorHAnsi" w:hAnsiTheme="minorHAnsi" w:cstheme="minorHAnsi"/>
          <w:sz w:val="24"/>
          <w:szCs w:val="24"/>
        </w:rPr>
        <w:t xml:space="preserve">, hereinafter referred to as ‘service provider’ appointed to conduct the assessment shall cover the following: </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b/>
          <w:bCs/>
          <w:sz w:val="24"/>
          <w:szCs w:val="24"/>
        </w:rPr>
      </w:pPr>
      <w:r w:rsidRPr="00EB5296">
        <w:rPr>
          <w:rFonts w:asciiTheme="minorHAnsi" w:hAnsiTheme="minorHAnsi" w:cstheme="minorHAnsi"/>
          <w:b/>
          <w:bCs/>
          <w:sz w:val="24"/>
          <w:szCs w:val="24"/>
        </w:rPr>
        <w:t>(i) Review of the compliance with the Bangladesh prudential framework, particularly on credit risk underwriting and management.</w:t>
      </w:r>
    </w:p>
    <w:p w:rsidR="004833A6" w:rsidRPr="00EB5296" w:rsidRDefault="004833A6">
      <w:pPr>
        <w:spacing w:after="0" w:line="240" w:lineRule="auto"/>
        <w:jc w:val="both"/>
        <w:rPr>
          <w:rFonts w:asciiTheme="minorHAnsi" w:hAnsiTheme="minorHAnsi" w:cstheme="minorHAnsi"/>
          <w:b/>
          <w:bCs/>
          <w:sz w:val="24"/>
          <w:szCs w:val="24"/>
        </w:rPr>
      </w:pPr>
    </w:p>
    <w:p w:rsidR="004833A6" w:rsidRPr="00EB5296" w:rsidRDefault="00011E69">
      <w:pPr>
        <w:pStyle w:val="ListParagraph"/>
        <w:widowControl/>
        <w:numPr>
          <w:ilvl w:val="0"/>
          <w:numId w:val="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Assessment of the adequacy of the bank’s accounting policies, credit risk management, and internal control procedures related to asset classification, provisioning, including loan forbearance rules, recognition and measurement of assets in accordance with existent</w:t>
      </w:r>
      <w:bookmarkStart w:id="1" w:name="_bookmark2"/>
      <w:bookmarkStart w:id="2" w:name="_bookmark0"/>
      <w:bookmarkEnd w:id="1"/>
      <w:bookmarkEnd w:id="2"/>
      <w:r w:rsidR="000A3034" w:rsidRPr="00EB5296">
        <w:rPr>
          <w:rFonts w:asciiTheme="minorHAnsi" w:hAnsiTheme="minorHAnsi" w:cstheme="minorHAnsi"/>
          <w:sz w:val="24"/>
          <w:szCs w:val="24"/>
        </w:rPr>
        <w:t xml:space="preserve"> regulations, single borrower and large exposures limits, identification of related parties, identification of the bank’s willful defaulters based on usual trends, and other credit risk relevant regulations.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11E69">
      <w:pPr>
        <w:pStyle w:val="ListParagraph"/>
        <w:widowControl/>
        <w:numPr>
          <w:ilvl w:val="0"/>
          <w:numId w:val="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Assessment of the bank’s liquidity and investment policies in accordance with existing regulations.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11E69">
      <w:pPr>
        <w:pStyle w:val="ListParagraph"/>
        <w:widowControl/>
        <w:numPr>
          <w:ilvl w:val="0"/>
          <w:numId w:val="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 qualitative assessment of the bank’s credit underwriting and credit risk management framework, including for NPLs, current regulatory practices of BB and proposed regulations.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11E69">
      <w:pPr>
        <w:pStyle w:val="ListParagraph"/>
        <w:widowControl/>
        <w:numPr>
          <w:ilvl w:val="0"/>
          <w:numId w:val="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Assessment of the adequacy and accuracy of bank’s asset classification, and the adequacy of provisioning and loss reserve levels based on BB regulations.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11E69">
      <w:pPr>
        <w:pStyle w:val="ListParagraph"/>
        <w:widowControl/>
        <w:numPr>
          <w:ilvl w:val="0"/>
          <w:numId w:val="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Assessment of the bank’s FX exposure and risk management framework against current regulatory practices of BB.</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b/>
          <w:bCs/>
          <w:sz w:val="24"/>
          <w:szCs w:val="24"/>
        </w:rPr>
      </w:pPr>
      <w:r w:rsidRPr="00EB5296">
        <w:rPr>
          <w:rFonts w:asciiTheme="minorHAnsi" w:hAnsiTheme="minorHAnsi" w:cstheme="minorHAnsi"/>
          <w:b/>
          <w:bCs/>
          <w:sz w:val="24"/>
          <w:szCs w:val="24"/>
        </w:rPr>
        <w:t xml:space="preserve">(ii) Asset quality review (AQR). </w:t>
      </w:r>
    </w:p>
    <w:p w:rsidR="004833A6" w:rsidRPr="00EB5296" w:rsidRDefault="004833A6">
      <w:pPr>
        <w:spacing w:after="0" w:line="240" w:lineRule="auto"/>
        <w:jc w:val="both"/>
        <w:rPr>
          <w:rFonts w:asciiTheme="minorHAnsi" w:hAnsiTheme="minorHAnsi" w:cstheme="minorHAnsi"/>
          <w:b/>
          <w:bCs/>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The AQR shall cover all material risks identified in an initial risk assessment, including credit facilities, financial assets, fixed assets and off-balance sheet exposures as defined in prudential regulations, in particular the following – </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A risk-based approach will be applied by independent experts. Coverage will include at least [80] percent of banking system assets and the experts will apply segmentation, sampling, and extrapolation as set out below. </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Risk based assessment of the portfolio, asset portfolio review for data completeness and integrity (portfolio basis).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Review of individual loans and securities (based on sampling techniques).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Review of assets bearing credit risk other than loans (based on sampling techniques).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Review of collateral valuations as well as foreclosed assets (based on sampling techniques).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Review of the identification and management of willful defaulters. </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Review of identification of single borrower/group of borrowers and related and/or connected parties for the purposes of large exposure limits. </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Review of related-party exposures, including adequacy of identification of exposure to former and current directors and board members from own and other banks. </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Review and identification of loans to bank’s subsidiaries and/or its allied concerns. </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Review and anal</w:t>
      </w:r>
      <w:r w:rsidR="001619DD" w:rsidRPr="00EB5296">
        <w:rPr>
          <w:rFonts w:asciiTheme="minorHAnsi" w:hAnsiTheme="minorHAnsi" w:cstheme="minorHAnsi"/>
          <w:sz w:val="24"/>
          <w:szCs w:val="24"/>
        </w:rPr>
        <w:t>ysis of the structure of assets</w:t>
      </w:r>
      <w:r w:rsidRPr="00EB5296">
        <w:rPr>
          <w:rFonts w:asciiTheme="minorHAnsi" w:hAnsiTheme="minorHAnsi" w:cstheme="minorHAnsi"/>
          <w:sz w:val="24"/>
          <w:szCs w:val="24"/>
        </w:rPr>
        <w:t xml:space="preserve"> including off balance sheet assets and other contingent liabilities, derivatives with a breakdown by asset portfolios (credit, trading, investments), by counterparties, by residency, by types of asset operations, by types of contingent liabilities, and by directions of placing assets (countries, sectors, etc.)</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b/>
          <w:bCs/>
          <w:sz w:val="24"/>
          <w:szCs w:val="24"/>
        </w:rPr>
      </w:pPr>
      <w:r w:rsidRPr="00EB5296">
        <w:rPr>
          <w:rFonts w:asciiTheme="minorHAnsi" w:hAnsiTheme="minorHAnsi" w:cstheme="minorHAnsi"/>
          <w:b/>
          <w:bCs/>
          <w:sz w:val="24"/>
          <w:szCs w:val="24"/>
        </w:rPr>
        <w:t xml:space="preserve">(iii) FX exposure review </w:t>
      </w:r>
    </w:p>
    <w:p w:rsidR="004833A6" w:rsidRPr="00EB5296" w:rsidRDefault="004833A6">
      <w:pPr>
        <w:spacing w:after="0" w:line="240" w:lineRule="auto"/>
        <w:jc w:val="both"/>
        <w:rPr>
          <w:rFonts w:asciiTheme="minorHAnsi" w:hAnsiTheme="minorHAnsi" w:cstheme="minorHAnsi"/>
          <w:b/>
          <w:bCs/>
          <w:sz w:val="24"/>
          <w:szCs w:val="24"/>
        </w:rPr>
      </w:pPr>
    </w:p>
    <w:p w:rsidR="004833A6" w:rsidRPr="00EB5296" w:rsidRDefault="000A3034">
      <w:pPr>
        <w:pStyle w:val="ListParagraph"/>
        <w:widowControl/>
        <w:numPr>
          <w:ilvl w:val="0"/>
          <w:numId w:val="5"/>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Assessment of the adequacy and accuracy of bank’s measurement of foreign currency positions, gains and losses, including financial and regulatory reporting.</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5"/>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Assessment of the impact of any adjustments to impairments or valuations recommended by the AQR on bank’s net open FX positions.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b/>
          <w:bCs/>
          <w:sz w:val="24"/>
          <w:szCs w:val="24"/>
        </w:rPr>
      </w:pPr>
      <w:r w:rsidRPr="00EB5296">
        <w:rPr>
          <w:rFonts w:asciiTheme="minorHAnsi" w:hAnsiTheme="minorHAnsi" w:cstheme="minorHAnsi"/>
          <w:b/>
          <w:bCs/>
          <w:sz w:val="24"/>
          <w:szCs w:val="24"/>
        </w:rPr>
        <w:t xml:space="preserve">(iv) </w:t>
      </w:r>
      <w:r w:rsidR="00BD02E8" w:rsidRPr="00EB5296">
        <w:rPr>
          <w:rFonts w:asciiTheme="minorHAnsi" w:hAnsiTheme="minorHAnsi" w:cstheme="minorHAnsi"/>
          <w:b/>
          <w:bCs/>
          <w:sz w:val="24"/>
          <w:szCs w:val="24"/>
        </w:rPr>
        <w:t xml:space="preserve"> </w:t>
      </w:r>
      <w:r w:rsidRPr="00EB5296">
        <w:rPr>
          <w:rFonts w:asciiTheme="minorHAnsi" w:hAnsiTheme="minorHAnsi" w:cstheme="minorHAnsi"/>
          <w:b/>
          <w:bCs/>
          <w:sz w:val="24"/>
          <w:szCs w:val="24"/>
        </w:rPr>
        <w:t>Assessment of Regulatory and Tier 1 capital adequacy.</w:t>
      </w:r>
    </w:p>
    <w:p w:rsidR="004833A6" w:rsidRPr="00EB5296" w:rsidRDefault="004833A6">
      <w:pPr>
        <w:spacing w:after="0" w:line="240" w:lineRule="auto"/>
        <w:jc w:val="both"/>
        <w:rPr>
          <w:rFonts w:asciiTheme="minorHAnsi" w:hAnsiTheme="minorHAnsi" w:cstheme="minorHAnsi"/>
          <w:b/>
          <w:bCs/>
          <w:sz w:val="24"/>
          <w:szCs w:val="24"/>
        </w:rPr>
      </w:pPr>
    </w:p>
    <w:p w:rsidR="004833A6" w:rsidRPr="00EB5296" w:rsidRDefault="000A3034">
      <w:pPr>
        <w:pStyle w:val="ListParagraph"/>
        <w:widowControl/>
        <w:numPr>
          <w:ilvl w:val="0"/>
          <w:numId w:val="6"/>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Adequacy of the process for allocating exposures to the existing categories as per the Capital Regulations.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6"/>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Assessment of the sound application of the credit conversion factors to the bank’s off-balance sheet exposures.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6"/>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Review of the adequacy of the calculation of operational risk capital requirements and risk-weighted assets.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6"/>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Review of the adequacy of the calculation of market risk capital requirements and their associated risk-weighted assets.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6"/>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Review of the sound application of the CET1, Tier 1 and own funds deductions to capital.</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b/>
          <w:bCs/>
          <w:sz w:val="24"/>
          <w:szCs w:val="24"/>
        </w:rPr>
        <w:t>(v) Liquidity review.</w:t>
      </w:r>
      <w:r w:rsidRPr="00EB5296">
        <w:rPr>
          <w:rFonts w:asciiTheme="minorHAnsi" w:hAnsiTheme="minorHAnsi" w:cstheme="minorHAnsi"/>
          <w:sz w:val="24"/>
          <w:szCs w:val="24"/>
        </w:rPr>
        <w:t xml:space="preserve"> Assessment of asset and liability mismatches, liquidity profiles, and funding mix, including:</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7"/>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review of the adequacy of the calculations of the applicable regulatory indicators, including the liquidity coverage ratio and the net stable funding ratio. Review of the adequacy of the allocation of cash flows to the applicable regulatory categories.</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7"/>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Assessment of the bank’s exposure to the Bangladesh Bank, including through the emergency liquidity assistance window.</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7"/>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Review of the bank’s funding plans, indicating any material mismatch between the bank’s cash inflows and outflows for the next year.</w:t>
      </w:r>
    </w:p>
    <w:p w:rsidR="004833A6" w:rsidRPr="00EB5296" w:rsidRDefault="004833A6">
      <w:pPr>
        <w:pStyle w:val="ListParagraph"/>
        <w:widowControl/>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b/>
          <w:bCs/>
          <w:sz w:val="24"/>
          <w:szCs w:val="24"/>
        </w:rPr>
        <w:t>(vi)</w:t>
      </w:r>
      <w:r w:rsidRPr="00EB5296">
        <w:rPr>
          <w:rFonts w:asciiTheme="minorHAnsi" w:hAnsiTheme="minorHAnsi" w:cstheme="minorHAnsi"/>
          <w:sz w:val="24"/>
          <w:szCs w:val="24"/>
        </w:rPr>
        <w:t xml:space="preserve"> </w:t>
      </w:r>
      <w:r w:rsidR="00AF7166" w:rsidRPr="00EB5296">
        <w:rPr>
          <w:rFonts w:asciiTheme="minorHAnsi" w:hAnsiTheme="minorHAnsi" w:cstheme="minorHAnsi"/>
          <w:sz w:val="24"/>
          <w:szCs w:val="24"/>
        </w:rPr>
        <w:t xml:space="preserve"> </w:t>
      </w:r>
      <w:r w:rsidRPr="00EB5296">
        <w:rPr>
          <w:rFonts w:asciiTheme="minorHAnsi" w:hAnsiTheme="minorHAnsi" w:cstheme="minorHAnsi"/>
          <w:sz w:val="24"/>
          <w:szCs w:val="24"/>
        </w:rPr>
        <w:t>The service provider should employ procedures in order to find loans and other asset related fraudulent or illegal activity in the bank concerned.  The service provider will carry out their work to determine the fraud or illegal activity occurred, identify the perpetrators of the fraud or illegal activity, the time period during which the fraudulent activity occurred, quantify the loss suffered as a result of the fraud or illegal activity, gather relevant evidence that is admissible in court, suggest measures to prevent such frauds from occurring in the future, etc.</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360" w:hanging="720"/>
        <w:jc w:val="both"/>
        <w:rPr>
          <w:rFonts w:asciiTheme="minorHAnsi" w:hAnsiTheme="minorHAnsi" w:cstheme="minorHAnsi"/>
          <w:sz w:val="24"/>
          <w:szCs w:val="24"/>
        </w:rPr>
      </w:pPr>
      <w:r w:rsidRPr="00EB5296">
        <w:rPr>
          <w:rFonts w:asciiTheme="minorHAnsi" w:hAnsiTheme="minorHAnsi" w:cstheme="minorHAnsi"/>
          <w:b/>
          <w:bCs/>
          <w:sz w:val="24"/>
          <w:szCs w:val="24"/>
        </w:rPr>
        <w:t>Data, personnel, facilities and local services to be provided by the client:</w:t>
      </w:r>
      <w:r w:rsidRPr="00EB5296">
        <w:rPr>
          <w:rFonts w:asciiTheme="minorHAnsi" w:hAnsiTheme="minorHAnsi" w:cstheme="minorHAnsi"/>
          <w:sz w:val="24"/>
          <w:szCs w:val="24"/>
        </w:rPr>
        <w:t xml:space="preserve"> Conducting an Asset Quality Review (AQR) is a comprehensive process that requires coordination between regulatory authorities, international service provider (ICFs), and local banking institutions. The international aspects and best practices regarding data, personnel, facilities, and local services provided by the client (in this case, Bangladesh Bank and local banks) can be outlined as follows:</w:t>
      </w:r>
    </w:p>
    <w:p w:rsidR="004833A6" w:rsidRPr="00EB5296" w:rsidRDefault="004833A6">
      <w:pPr>
        <w:pStyle w:val="ListParagraph"/>
        <w:widowControl/>
        <w:spacing w:after="0" w:line="240" w:lineRule="auto"/>
        <w:ind w:left="360"/>
        <w:jc w:val="both"/>
        <w:rPr>
          <w:rFonts w:asciiTheme="minorHAnsi" w:hAnsiTheme="minorHAnsi" w:cstheme="minorHAnsi"/>
          <w:sz w:val="24"/>
          <w:szCs w:val="24"/>
        </w:rPr>
      </w:pPr>
    </w:p>
    <w:p w:rsidR="004833A6" w:rsidRPr="00EB5296" w:rsidRDefault="000A3034">
      <w:pPr>
        <w:pStyle w:val="ListParagraph"/>
        <w:spacing w:line="240" w:lineRule="auto"/>
        <w:ind w:left="360"/>
        <w:jc w:val="both"/>
        <w:rPr>
          <w:rFonts w:asciiTheme="minorHAnsi" w:hAnsiTheme="minorHAnsi" w:cstheme="minorHAnsi"/>
          <w:sz w:val="24"/>
          <w:szCs w:val="24"/>
        </w:rPr>
      </w:pPr>
      <w:r w:rsidRPr="00EB5296">
        <w:rPr>
          <w:rFonts w:asciiTheme="minorHAnsi" w:hAnsiTheme="minorHAnsi" w:cstheme="minorHAnsi"/>
          <w:b/>
          <w:sz w:val="24"/>
          <w:szCs w:val="24"/>
        </w:rPr>
        <w:t xml:space="preserve">4.1  Data to be provided to the service provider. </w:t>
      </w:r>
      <w:r w:rsidRPr="00EB5296">
        <w:rPr>
          <w:rFonts w:asciiTheme="minorHAnsi" w:hAnsiTheme="minorHAnsi" w:cstheme="minorHAnsi"/>
          <w:sz w:val="24"/>
          <w:szCs w:val="24"/>
        </w:rPr>
        <w:t>The diagnostic study will be based on a document inventory as specified by the independent service providers, which will include but not limited to:</w:t>
      </w:r>
    </w:p>
    <w:p w:rsidR="004833A6" w:rsidRPr="00EB5296" w:rsidRDefault="000A3034">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latest available audited standalone and consolidated financial statements of the bank.</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Unaudited financial statements as of the latest quarter end.</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Breakdown of the financial statements by currency.</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Bank’s policies and procedures, including accounting, credit risk management, and FX risk management.</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List of loans and financial liabilities, extended to large borrowers, whose exposure is either 2% of the bank’s paid-up capital or BDT500 million whichever is lower for systemic banks and either 2% of the bank’s paid-up capital or BDT100 million whichever is lower for the non-systemic banks, as well as to the bank’s ultimate owners and other affiliated persons, with separate indications of those that were restructured, rescheduled and reclassified during the last seven (07) years;</w:t>
      </w:r>
    </w:p>
    <w:p w:rsidR="004833A6" w:rsidRPr="00BB7667" w:rsidRDefault="004833A6">
      <w:pPr>
        <w:widowControl/>
        <w:spacing w:after="0" w:line="240" w:lineRule="auto"/>
        <w:ind w:left="1867"/>
        <w:jc w:val="both"/>
        <w:rPr>
          <w:rFonts w:asciiTheme="minorHAnsi" w:hAnsiTheme="minorHAnsi" w:cstheme="minorHAnsi"/>
          <w:szCs w:val="24"/>
        </w:rPr>
      </w:pPr>
    </w:p>
    <w:p w:rsidR="004833A6" w:rsidRPr="00EB5296" w:rsidRDefault="000A3034">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Breakdown of past due, non-performing loans including breakdown of impairments for losses and other information.</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BB7667" w:rsidP="00011E69">
      <w:pPr>
        <w:widowControl/>
        <w:numPr>
          <w:ilvl w:val="0"/>
          <w:numId w:val="8"/>
        </w:numPr>
        <w:spacing w:after="0" w:line="240" w:lineRule="auto"/>
        <w:ind w:left="1440" w:hanging="450"/>
        <w:jc w:val="both"/>
        <w:rPr>
          <w:rFonts w:asciiTheme="minorHAnsi" w:hAnsiTheme="minorHAnsi" w:cstheme="minorHAnsi"/>
          <w:sz w:val="24"/>
          <w:szCs w:val="24"/>
        </w:rPr>
      </w:pPr>
      <w:r>
        <w:rPr>
          <w:rFonts w:asciiTheme="minorHAnsi" w:hAnsiTheme="minorHAnsi" w:cstheme="minorHAnsi"/>
          <w:sz w:val="24"/>
          <w:szCs w:val="24"/>
        </w:rPr>
        <w:lastRenderedPageBreak/>
        <w:t xml:space="preserve">        </w:t>
      </w:r>
      <w:r w:rsidR="000A3034" w:rsidRPr="00EB5296">
        <w:rPr>
          <w:rFonts w:asciiTheme="minorHAnsi" w:hAnsiTheme="minorHAnsi" w:cstheme="minorHAnsi"/>
          <w:sz w:val="24"/>
          <w:szCs w:val="24"/>
        </w:rPr>
        <w:t>Breakdown of restructured, rescheduled and reclassified assets, write-</w:t>
      </w:r>
      <w:r>
        <w:rPr>
          <w:rFonts w:asciiTheme="minorHAnsi" w:hAnsiTheme="minorHAnsi" w:cstheme="minorHAnsi"/>
          <w:sz w:val="24"/>
          <w:szCs w:val="24"/>
        </w:rPr>
        <w:t xml:space="preserve"> </w:t>
      </w:r>
      <w:r w:rsidR="000A3034" w:rsidRPr="00EB5296">
        <w:rPr>
          <w:rFonts w:asciiTheme="minorHAnsi" w:hAnsiTheme="minorHAnsi" w:cstheme="minorHAnsi"/>
          <w:sz w:val="24"/>
          <w:szCs w:val="24"/>
        </w:rPr>
        <w:t>offs and recoveries.</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11E69" w:rsidP="00011E69">
      <w:pPr>
        <w:widowControl/>
        <w:numPr>
          <w:ilvl w:val="0"/>
          <w:numId w:val="8"/>
        </w:numPr>
        <w:spacing w:after="0" w:line="240" w:lineRule="auto"/>
        <w:ind w:left="1440" w:hanging="450"/>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Credit papers prepared by the bank.</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rsidP="00D60B85">
      <w:pPr>
        <w:widowControl/>
        <w:numPr>
          <w:ilvl w:val="0"/>
          <w:numId w:val="8"/>
        </w:numPr>
        <w:spacing w:after="0" w:line="240" w:lineRule="auto"/>
        <w:ind w:left="1530" w:hanging="513"/>
        <w:jc w:val="both"/>
        <w:rPr>
          <w:rFonts w:asciiTheme="minorHAnsi" w:hAnsiTheme="minorHAnsi" w:cstheme="minorHAnsi"/>
          <w:sz w:val="24"/>
          <w:szCs w:val="24"/>
        </w:rPr>
      </w:pPr>
      <w:r w:rsidRPr="00EB5296">
        <w:rPr>
          <w:rFonts w:asciiTheme="minorHAnsi" w:hAnsiTheme="minorHAnsi" w:cstheme="minorHAnsi"/>
          <w:sz w:val="24"/>
          <w:szCs w:val="24"/>
        </w:rPr>
        <w:t>Loan applications and credit decision (i.e. Board Memo, EC Memo, minutes, etc.);</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rsidP="00D60B85">
      <w:pPr>
        <w:widowControl/>
        <w:numPr>
          <w:ilvl w:val="0"/>
          <w:numId w:val="8"/>
        </w:numPr>
        <w:spacing w:after="0" w:line="240" w:lineRule="auto"/>
        <w:ind w:left="1530" w:hanging="450"/>
        <w:jc w:val="both"/>
        <w:rPr>
          <w:rFonts w:asciiTheme="minorHAnsi" w:hAnsiTheme="minorHAnsi" w:cstheme="minorHAnsi"/>
          <w:sz w:val="24"/>
          <w:szCs w:val="24"/>
        </w:rPr>
      </w:pPr>
      <w:r w:rsidRPr="00EB5296">
        <w:rPr>
          <w:rFonts w:asciiTheme="minorHAnsi" w:hAnsiTheme="minorHAnsi" w:cstheme="minorHAnsi"/>
          <w:sz w:val="24"/>
          <w:szCs w:val="24"/>
        </w:rPr>
        <w:t>Facility offers letters.</w:t>
      </w:r>
    </w:p>
    <w:p w:rsidR="004833A6" w:rsidRPr="00EB5296" w:rsidRDefault="004833A6" w:rsidP="00D60B85">
      <w:pPr>
        <w:widowControl/>
        <w:spacing w:after="0" w:line="240" w:lineRule="auto"/>
        <w:ind w:left="1530" w:hanging="450"/>
        <w:jc w:val="both"/>
        <w:rPr>
          <w:rFonts w:asciiTheme="minorHAnsi" w:hAnsiTheme="minorHAnsi" w:cstheme="minorHAnsi"/>
          <w:sz w:val="24"/>
          <w:szCs w:val="24"/>
        </w:rPr>
      </w:pPr>
    </w:p>
    <w:p w:rsidR="004833A6" w:rsidRPr="00EB5296" w:rsidRDefault="000A3034" w:rsidP="00D60B85">
      <w:pPr>
        <w:widowControl/>
        <w:numPr>
          <w:ilvl w:val="0"/>
          <w:numId w:val="8"/>
        </w:numPr>
        <w:spacing w:after="0" w:line="240" w:lineRule="auto"/>
        <w:ind w:left="1530" w:hanging="450"/>
        <w:jc w:val="both"/>
        <w:rPr>
          <w:rFonts w:asciiTheme="minorHAnsi" w:hAnsiTheme="minorHAnsi" w:cstheme="minorHAnsi"/>
          <w:sz w:val="24"/>
          <w:szCs w:val="24"/>
        </w:rPr>
      </w:pPr>
      <w:r w:rsidRPr="00EB5296">
        <w:rPr>
          <w:rFonts w:asciiTheme="minorHAnsi" w:hAnsiTheme="minorHAnsi" w:cstheme="minorHAnsi"/>
          <w:sz w:val="24"/>
          <w:szCs w:val="24"/>
        </w:rPr>
        <w:t>Loan and pledge contracts.</w:t>
      </w:r>
    </w:p>
    <w:p w:rsidR="004833A6" w:rsidRPr="00EB5296" w:rsidRDefault="004833A6" w:rsidP="00D60B85">
      <w:pPr>
        <w:widowControl/>
        <w:spacing w:after="0" w:line="240" w:lineRule="auto"/>
        <w:ind w:left="1530" w:hanging="450"/>
        <w:jc w:val="both"/>
        <w:rPr>
          <w:rFonts w:asciiTheme="minorHAnsi" w:hAnsiTheme="minorHAnsi" w:cstheme="minorHAnsi"/>
          <w:sz w:val="24"/>
          <w:szCs w:val="24"/>
        </w:rPr>
      </w:pPr>
    </w:p>
    <w:p w:rsidR="004833A6" w:rsidRPr="00EB5296" w:rsidRDefault="000A3034" w:rsidP="00D60B85">
      <w:pPr>
        <w:widowControl/>
        <w:numPr>
          <w:ilvl w:val="0"/>
          <w:numId w:val="8"/>
        </w:numPr>
        <w:spacing w:after="0" w:line="240" w:lineRule="auto"/>
        <w:ind w:left="1530" w:hanging="450"/>
        <w:jc w:val="both"/>
        <w:rPr>
          <w:rFonts w:asciiTheme="minorHAnsi" w:hAnsiTheme="minorHAnsi" w:cstheme="minorHAnsi"/>
          <w:sz w:val="24"/>
          <w:szCs w:val="24"/>
        </w:rPr>
      </w:pPr>
      <w:r w:rsidRPr="00EB5296">
        <w:rPr>
          <w:rFonts w:asciiTheme="minorHAnsi" w:hAnsiTheme="minorHAnsi" w:cstheme="minorHAnsi"/>
          <w:sz w:val="24"/>
          <w:szCs w:val="24"/>
        </w:rPr>
        <w:t>Financial statements of the company (borrowers) and guarantors.</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rsidP="00011E69">
      <w:pPr>
        <w:widowControl/>
        <w:numPr>
          <w:ilvl w:val="0"/>
          <w:numId w:val="8"/>
        </w:numPr>
        <w:spacing w:after="0" w:line="240" w:lineRule="auto"/>
        <w:ind w:left="1530" w:hanging="513"/>
        <w:jc w:val="both"/>
        <w:rPr>
          <w:rFonts w:asciiTheme="minorHAnsi" w:hAnsiTheme="minorHAnsi" w:cstheme="minorHAnsi"/>
          <w:sz w:val="24"/>
          <w:szCs w:val="24"/>
        </w:rPr>
      </w:pPr>
      <w:r w:rsidRPr="00EB5296">
        <w:rPr>
          <w:rFonts w:asciiTheme="minorHAnsi" w:hAnsiTheme="minorHAnsi" w:cstheme="minorHAnsi"/>
          <w:sz w:val="24"/>
          <w:szCs w:val="24"/>
        </w:rPr>
        <w:t>Detailed statements of borrower’s loan-account, deposit accounts, connected accounts, correspondent accounts with confirmation of balances in correspondent accounts and accounts from counterpart banks.</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11E69" w:rsidP="00D60B85">
      <w:pPr>
        <w:widowControl/>
        <w:numPr>
          <w:ilvl w:val="0"/>
          <w:numId w:val="8"/>
        </w:numPr>
        <w:spacing w:after="0" w:line="240" w:lineRule="auto"/>
        <w:ind w:left="1530" w:hanging="513"/>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Collateral information.</w:t>
      </w:r>
    </w:p>
    <w:p w:rsidR="004833A6" w:rsidRPr="00EB5296" w:rsidRDefault="004833A6" w:rsidP="00D60B85">
      <w:pPr>
        <w:widowControl/>
        <w:spacing w:after="0" w:line="240" w:lineRule="auto"/>
        <w:ind w:left="1530" w:hanging="513"/>
        <w:jc w:val="both"/>
        <w:rPr>
          <w:rFonts w:asciiTheme="minorHAnsi" w:hAnsiTheme="minorHAnsi" w:cstheme="minorHAnsi"/>
          <w:sz w:val="24"/>
          <w:szCs w:val="24"/>
        </w:rPr>
      </w:pPr>
    </w:p>
    <w:p w:rsidR="004833A6" w:rsidRPr="00EB5296" w:rsidRDefault="000A3034" w:rsidP="00D60B85">
      <w:pPr>
        <w:widowControl/>
        <w:numPr>
          <w:ilvl w:val="0"/>
          <w:numId w:val="8"/>
        </w:numPr>
        <w:spacing w:after="0" w:line="240" w:lineRule="auto"/>
        <w:ind w:left="1530" w:hanging="513"/>
        <w:jc w:val="both"/>
        <w:rPr>
          <w:rFonts w:asciiTheme="minorHAnsi" w:hAnsiTheme="minorHAnsi" w:cstheme="minorHAnsi"/>
          <w:sz w:val="24"/>
          <w:szCs w:val="24"/>
        </w:rPr>
      </w:pPr>
      <w:r w:rsidRPr="00EB5296">
        <w:rPr>
          <w:rFonts w:asciiTheme="minorHAnsi" w:hAnsiTheme="minorHAnsi" w:cstheme="minorHAnsi"/>
          <w:sz w:val="24"/>
          <w:szCs w:val="24"/>
        </w:rPr>
        <w:t>Collateral appraisal reports.</w:t>
      </w:r>
    </w:p>
    <w:p w:rsidR="004833A6" w:rsidRPr="00EB5296" w:rsidRDefault="004833A6" w:rsidP="00D60B85">
      <w:pPr>
        <w:widowControl/>
        <w:spacing w:after="0" w:line="240" w:lineRule="auto"/>
        <w:ind w:left="1530" w:hanging="513"/>
        <w:jc w:val="both"/>
        <w:rPr>
          <w:rFonts w:asciiTheme="minorHAnsi" w:hAnsiTheme="minorHAnsi" w:cstheme="minorHAnsi"/>
          <w:sz w:val="24"/>
          <w:szCs w:val="24"/>
        </w:rPr>
      </w:pPr>
    </w:p>
    <w:p w:rsidR="004833A6" w:rsidRPr="00EB5296" w:rsidRDefault="00011E69" w:rsidP="00D60B85">
      <w:pPr>
        <w:widowControl/>
        <w:numPr>
          <w:ilvl w:val="0"/>
          <w:numId w:val="8"/>
        </w:numPr>
        <w:spacing w:after="0" w:line="240" w:lineRule="auto"/>
        <w:ind w:left="1530" w:hanging="513"/>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Agreements relating to guarantees, lien on collateral, etc.</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rsidP="00011E69">
      <w:pPr>
        <w:widowControl/>
        <w:numPr>
          <w:ilvl w:val="0"/>
          <w:numId w:val="8"/>
        </w:numPr>
        <w:spacing w:after="0" w:line="240" w:lineRule="auto"/>
        <w:ind w:left="1530" w:hanging="540"/>
        <w:jc w:val="both"/>
        <w:rPr>
          <w:rFonts w:asciiTheme="minorHAnsi" w:hAnsiTheme="minorHAnsi" w:cstheme="minorHAnsi"/>
          <w:sz w:val="24"/>
          <w:szCs w:val="24"/>
        </w:rPr>
      </w:pPr>
      <w:r w:rsidRPr="00EB5296">
        <w:rPr>
          <w:rFonts w:asciiTheme="minorHAnsi" w:hAnsiTheme="minorHAnsi" w:cstheme="minorHAnsi"/>
          <w:sz w:val="24"/>
          <w:szCs w:val="24"/>
        </w:rPr>
        <w:t>Historic account information for the previous three years, e.g., credit history, ratings history, overdue amounts.</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Periodic reviews;</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11E69">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Liquidity profile;</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A3034">
      <w:pPr>
        <w:widowControl/>
        <w:numPr>
          <w:ilvl w:val="0"/>
          <w:numId w:val="8"/>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Details of tax returns of the debtor, including service provider reports (if any);</w:t>
      </w:r>
    </w:p>
    <w:p w:rsidR="004833A6" w:rsidRPr="00EB5296" w:rsidRDefault="004833A6">
      <w:pPr>
        <w:widowControl/>
        <w:spacing w:after="0" w:line="240" w:lineRule="auto"/>
        <w:ind w:left="1867"/>
        <w:jc w:val="both"/>
        <w:rPr>
          <w:rFonts w:asciiTheme="minorHAnsi" w:hAnsiTheme="minorHAnsi" w:cstheme="minorHAnsi"/>
          <w:sz w:val="24"/>
          <w:szCs w:val="24"/>
        </w:rPr>
      </w:pPr>
    </w:p>
    <w:p w:rsidR="004833A6" w:rsidRPr="00EB5296" w:rsidRDefault="00011E69" w:rsidP="00011E69">
      <w:pPr>
        <w:widowControl/>
        <w:numPr>
          <w:ilvl w:val="0"/>
          <w:numId w:val="8"/>
        </w:numPr>
        <w:spacing w:after="0" w:line="240" w:lineRule="auto"/>
        <w:ind w:left="1530" w:hanging="540"/>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Any other information deemed materially relevant by the bank to the credit or FX assessment; and</w:t>
      </w:r>
    </w:p>
    <w:p w:rsidR="004833A6" w:rsidRPr="00BB7667" w:rsidRDefault="004833A6">
      <w:pPr>
        <w:widowControl/>
        <w:spacing w:after="0" w:line="240" w:lineRule="auto"/>
        <w:ind w:left="1867"/>
        <w:jc w:val="both"/>
        <w:rPr>
          <w:rFonts w:asciiTheme="minorHAnsi" w:hAnsiTheme="minorHAnsi" w:cstheme="minorHAnsi"/>
          <w:sz w:val="18"/>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All other statements, reports, and supplementary data and any other analysis and breakdowns deemed necessary by the service providers in order to prepare reports, conduct diagnoses, and otherwise comply with the Employer’s Requirements.</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All the documents mentioned above shall be prepared by the bank as of the Reference Date (except for the Audited Financial Statements) and submitted to the service provider</w:t>
      </w:r>
      <w:r w:rsidR="00E15F7B" w:rsidRPr="00EB5296">
        <w:rPr>
          <w:rFonts w:asciiTheme="minorHAnsi" w:hAnsiTheme="minorHAnsi" w:cstheme="minorHAnsi"/>
          <w:sz w:val="24"/>
          <w:szCs w:val="24"/>
        </w:rPr>
        <w:t xml:space="preserve"> </w:t>
      </w:r>
      <w:r w:rsidRPr="00EB5296">
        <w:rPr>
          <w:rFonts w:asciiTheme="minorHAnsi" w:hAnsiTheme="minorHAnsi" w:cstheme="minorHAnsi"/>
          <w:sz w:val="24"/>
          <w:szCs w:val="24"/>
        </w:rPr>
        <w:t>with</w:t>
      </w:r>
      <w:r w:rsidR="00E15F7B" w:rsidRPr="00EB5296">
        <w:rPr>
          <w:rFonts w:asciiTheme="minorHAnsi" w:hAnsiTheme="minorHAnsi" w:cstheme="minorHAnsi"/>
          <w:sz w:val="24"/>
          <w:szCs w:val="24"/>
        </w:rPr>
        <w:t xml:space="preserve"> </w:t>
      </w:r>
      <w:r w:rsidRPr="00EB5296">
        <w:rPr>
          <w:rFonts w:asciiTheme="minorHAnsi" w:hAnsiTheme="minorHAnsi" w:cstheme="minorHAnsi"/>
          <w:sz w:val="24"/>
          <w:szCs w:val="24"/>
        </w:rPr>
        <w:t xml:space="preserve">in a maximum period of 10 calendar days from the date of the Firm’s request, unless otherwise specified. The service providers should immediately notify the BB of any banks’ failure to provide requested information. BB commits to undertake its best efforts to ensure that the service provider is provided with access to all information needed to carry out </w:t>
      </w:r>
      <w:r w:rsidRPr="00EB5296">
        <w:rPr>
          <w:rFonts w:asciiTheme="minorHAnsi" w:hAnsiTheme="minorHAnsi" w:cstheme="minorHAnsi"/>
          <w:sz w:val="24"/>
          <w:szCs w:val="24"/>
        </w:rPr>
        <w:lastRenderedPageBreak/>
        <w:t>these terms of reference.</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11E69">
      <w:pPr>
        <w:spacing w:after="0" w:line="240" w:lineRule="auto"/>
        <w:jc w:val="both"/>
        <w:rPr>
          <w:rFonts w:asciiTheme="minorHAnsi" w:hAnsiTheme="minorHAnsi" w:cstheme="minorHAnsi"/>
          <w:sz w:val="24"/>
          <w:szCs w:val="24"/>
        </w:rPr>
      </w:pPr>
      <w:r w:rsidRPr="00EB5296">
        <w:rPr>
          <w:rFonts w:asciiTheme="minorHAnsi" w:hAnsiTheme="minorHAnsi" w:cstheme="minorHAnsi"/>
          <w:b/>
          <w:sz w:val="24"/>
          <w:szCs w:val="24"/>
        </w:rPr>
        <w:t xml:space="preserve">4.2 </w:t>
      </w:r>
      <w:r w:rsidR="000A3034" w:rsidRPr="00EB5296">
        <w:rPr>
          <w:rFonts w:asciiTheme="minorHAnsi" w:hAnsiTheme="minorHAnsi" w:cstheme="minorHAnsi"/>
          <w:b/>
          <w:sz w:val="24"/>
          <w:szCs w:val="24"/>
        </w:rPr>
        <w:t xml:space="preserve">Reference date and Data segmentation for AQR. </w:t>
      </w:r>
      <w:r w:rsidR="000A3034" w:rsidRPr="00EB5296">
        <w:rPr>
          <w:rFonts w:asciiTheme="minorHAnsi" w:hAnsiTheme="minorHAnsi" w:cstheme="minorHAnsi"/>
          <w:sz w:val="24"/>
          <w:szCs w:val="24"/>
        </w:rPr>
        <w:t>The analysis will be based on data as of latest quarter-end. The risk-based assessment shall be used to segment the portfolio (i.e. corporate lending, SME and retail lending) and identify existing and potential high-risk assets in security and loan asset classes for the purpose of targeted sampling. Each loan sub- portfolio shall be classified using this risk-based approach, including fields such as outstanding loan amount, loan/collateral currency, performance status, loan to value ratio, equity to assets ratio, etc., as appropriate.</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For loan quality assessment, banks shall produce a loan data table as of the latest quarter end, using a standardized (Excel) template as defined by the consultants in consultation with the</w:t>
      </w:r>
      <w:bookmarkStart w:id="3" w:name="_bookmark3"/>
      <w:bookmarkEnd w:id="3"/>
      <w:r w:rsidRPr="00EB5296">
        <w:rPr>
          <w:rFonts w:asciiTheme="minorHAnsi" w:hAnsiTheme="minorHAnsi" w:cstheme="minorHAnsi"/>
          <w:sz w:val="24"/>
          <w:szCs w:val="24"/>
        </w:rPr>
        <w:t xml:space="preserve"> banks. This template will include fields for identification of borrowers (i.e. corporate, SME, retail and others), loans, collateral, guarantees provided by third-parties, currency, industry sector and geographical structure, and amount of commitment to provide funds.</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These shall also include sector and product-wise classification of credit facilities classified into quality categories (e.g., performing, past-due, non-performing).</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11E69">
      <w:pPr>
        <w:spacing w:after="0" w:line="240" w:lineRule="auto"/>
        <w:jc w:val="both"/>
        <w:rPr>
          <w:rFonts w:asciiTheme="minorHAnsi" w:hAnsiTheme="minorHAnsi" w:cstheme="minorHAnsi"/>
          <w:sz w:val="24"/>
          <w:szCs w:val="24"/>
        </w:rPr>
      </w:pPr>
      <w:r w:rsidRPr="00EB5296">
        <w:rPr>
          <w:rFonts w:asciiTheme="minorHAnsi" w:hAnsiTheme="minorHAnsi" w:cstheme="minorHAnsi"/>
          <w:b/>
          <w:sz w:val="24"/>
          <w:szCs w:val="24"/>
        </w:rPr>
        <w:t xml:space="preserve">4.3 </w:t>
      </w:r>
      <w:r w:rsidR="000A3034" w:rsidRPr="00EB5296">
        <w:rPr>
          <w:rFonts w:asciiTheme="minorHAnsi" w:hAnsiTheme="minorHAnsi" w:cstheme="minorHAnsi"/>
          <w:b/>
          <w:sz w:val="24"/>
          <w:szCs w:val="24"/>
        </w:rPr>
        <w:t xml:space="preserve">Data integrity relating to AQR. </w:t>
      </w:r>
      <w:r w:rsidR="000A3034" w:rsidRPr="00EB5296">
        <w:rPr>
          <w:rFonts w:asciiTheme="minorHAnsi" w:hAnsiTheme="minorHAnsi" w:cstheme="minorHAnsi"/>
          <w:sz w:val="24"/>
          <w:szCs w:val="24"/>
        </w:rPr>
        <w:t>To ensure to the extent possible that key data used for sampling is fit for purpose, the service providers shall conduct data integrity tests and highlight any issues with data segmentation and data integrity in their detailed reports, as highlighted in Para 18 below.</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Data Integrity Verification (DIV) will assess the sufficiency, quality, and validity of data in the register as compared to the bank’s management information systems, official books, and records. This should also ensure that data is maintained within a reasonable timeframe. The DIV shall be applied using a risk-based approach. This verification will address data checking of the information provided by the Bank, including but not limited to:</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rsidP="00011E69">
      <w:pPr>
        <w:widowControl/>
        <w:numPr>
          <w:ilvl w:val="0"/>
          <w:numId w:val="9"/>
        </w:numPr>
        <w:spacing w:after="0" w:line="240" w:lineRule="auto"/>
        <w:ind w:left="630" w:hanging="540"/>
        <w:jc w:val="both"/>
        <w:rPr>
          <w:rFonts w:asciiTheme="minorHAnsi" w:hAnsiTheme="minorHAnsi" w:cstheme="minorHAnsi"/>
          <w:sz w:val="24"/>
          <w:szCs w:val="24"/>
        </w:rPr>
      </w:pPr>
      <w:r w:rsidRPr="00EB5296">
        <w:rPr>
          <w:rFonts w:asciiTheme="minorHAnsi" w:hAnsiTheme="minorHAnsi" w:cstheme="minorHAnsi"/>
          <w:sz w:val="24"/>
          <w:szCs w:val="24"/>
        </w:rPr>
        <w:t>Accuracy of general ledger balances of assets and liabilities (e.g. confirmation of assets stated to be owned with assets listed in the general ledger).</w:t>
      </w:r>
    </w:p>
    <w:p w:rsidR="004833A6" w:rsidRPr="00EB5296" w:rsidRDefault="004833A6">
      <w:pPr>
        <w:widowControl/>
        <w:spacing w:after="0" w:line="240" w:lineRule="auto"/>
        <w:ind w:left="979"/>
        <w:jc w:val="both"/>
        <w:rPr>
          <w:rFonts w:asciiTheme="minorHAnsi" w:hAnsiTheme="minorHAnsi" w:cstheme="minorHAnsi"/>
          <w:sz w:val="24"/>
          <w:szCs w:val="24"/>
        </w:rPr>
      </w:pPr>
    </w:p>
    <w:p w:rsidR="004833A6" w:rsidRPr="00EB5296" w:rsidRDefault="000A3034">
      <w:pPr>
        <w:widowControl/>
        <w:numPr>
          <w:ilvl w:val="0"/>
          <w:numId w:val="9"/>
        </w:numPr>
        <w:spacing w:after="0" w:line="240" w:lineRule="auto"/>
        <w:ind w:left="979"/>
        <w:jc w:val="both"/>
        <w:rPr>
          <w:rFonts w:asciiTheme="minorHAnsi" w:hAnsiTheme="minorHAnsi" w:cstheme="minorHAnsi"/>
          <w:sz w:val="24"/>
          <w:szCs w:val="24"/>
        </w:rPr>
      </w:pPr>
      <w:r w:rsidRPr="00EB5296">
        <w:rPr>
          <w:rFonts w:asciiTheme="minorHAnsi" w:hAnsiTheme="minorHAnsi" w:cstheme="minorHAnsi"/>
          <w:sz w:val="24"/>
          <w:szCs w:val="24"/>
        </w:rPr>
        <w:t>Completeness (e.g., analysis of empty data fields,…).</w:t>
      </w:r>
    </w:p>
    <w:p w:rsidR="004833A6" w:rsidRPr="00EB5296" w:rsidRDefault="004833A6">
      <w:pPr>
        <w:widowControl/>
        <w:spacing w:after="0" w:line="240" w:lineRule="auto"/>
        <w:ind w:left="979"/>
        <w:jc w:val="both"/>
        <w:rPr>
          <w:rFonts w:asciiTheme="minorHAnsi" w:hAnsiTheme="minorHAnsi" w:cstheme="minorHAnsi"/>
          <w:sz w:val="24"/>
          <w:szCs w:val="24"/>
        </w:rPr>
      </w:pPr>
    </w:p>
    <w:p w:rsidR="004833A6" w:rsidRPr="00EB5296" w:rsidRDefault="000A3034">
      <w:pPr>
        <w:widowControl/>
        <w:numPr>
          <w:ilvl w:val="0"/>
          <w:numId w:val="9"/>
        </w:numPr>
        <w:spacing w:after="0" w:line="240" w:lineRule="auto"/>
        <w:ind w:left="979"/>
        <w:jc w:val="both"/>
        <w:rPr>
          <w:rFonts w:asciiTheme="minorHAnsi" w:hAnsiTheme="minorHAnsi" w:cstheme="minorHAnsi"/>
          <w:sz w:val="24"/>
          <w:szCs w:val="24"/>
        </w:rPr>
      </w:pPr>
      <w:r w:rsidRPr="00EB5296">
        <w:rPr>
          <w:rFonts w:asciiTheme="minorHAnsi" w:hAnsiTheme="minorHAnsi" w:cstheme="minorHAnsi"/>
          <w:sz w:val="24"/>
          <w:szCs w:val="24"/>
        </w:rPr>
        <w:t>Integrity/validity (e.g., checks on outliers, repetitive patterns in data,…).</w:t>
      </w:r>
    </w:p>
    <w:p w:rsidR="004833A6" w:rsidRPr="00EB5296" w:rsidRDefault="004833A6">
      <w:pPr>
        <w:widowControl/>
        <w:spacing w:after="0" w:line="240" w:lineRule="auto"/>
        <w:ind w:left="979"/>
        <w:jc w:val="both"/>
        <w:rPr>
          <w:rFonts w:asciiTheme="minorHAnsi" w:hAnsiTheme="minorHAnsi" w:cstheme="minorHAnsi"/>
          <w:sz w:val="24"/>
          <w:szCs w:val="24"/>
        </w:rPr>
      </w:pPr>
    </w:p>
    <w:p w:rsidR="004833A6" w:rsidRPr="00EB5296" w:rsidRDefault="000A3034">
      <w:pPr>
        <w:widowControl/>
        <w:numPr>
          <w:ilvl w:val="0"/>
          <w:numId w:val="9"/>
        </w:numPr>
        <w:spacing w:after="0" w:line="240" w:lineRule="auto"/>
        <w:ind w:left="979"/>
        <w:jc w:val="both"/>
        <w:rPr>
          <w:rFonts w:asciiTheme="minorHAnsi" w:hAnsiTheme="minorHAnsi" w:cstheme="minorHAnsi"/>
          <w:sz w:val="24"/>
          <w:szCs w:val="24"/>
        </w:rPr>
      </w:pPr>
      <w:r w:rsidRPr="00EB5296">
        <w:rPr>
          <w:rFonts w:asciiTheme="minorHAnsi" w:hAnsiTheme="minorHAnsi" w:cstheme="minorHAnsi"/>
          <w:sz w:val="24"/>
          <w:szCs w:val="24"/>
        </w:rPr>
        <w:t>Consistency (e.g., cross checks,…).</w:t>
      </w:r>
    </w:p>
    <w:p w:rsidR="004833A6" w:rsidRPr="00EB5296" w:rsidRDefault="004833A6">
      <w:pPr>
        <w:widowControl/>
        <w:spacing w:after="0" w:line="240" w:lineRule="auto"/>
        <w:ind w:left="979"/>
        <w:jc w:val="both"/>
        <w:rPr>
          <w:rFonts w:asciiTheme="minorHAnsi" w:hAnsiTheme="minorHAnsi" w:cstheme="minorHAnsi"/>
          <w:sz w:val="24"/>
          <w:szCs w:val="24"/>
        </w:rPr>
      </w:pPr>
    </w:p>
    <w:p w:rsidR="004833A6" w:rsidRPr="00EB5296" w:rsidRDefault="000A3034">
      <w:pPr>
        <w:widowControl/>
        <w:numPr>
          <w:ilvl w:val="0"/>
          <w:numId w:val="9"/>
        </w:numPr>
        <w:spacing w:after="0" w:line="240" w:lineRule="auto"/>
        <w:ind w:left="979"/>
        <w:jc w:val="both"/>
        <w:rPr>
          <w:rFonts w:asciiTheme="minorHAnsi" w:hAnsiTheme="minorHAnsi" w:cstheme="minorHAnsi"/>
          <w:sz w:val="24"/>
          <w:szCs w:val="24"/>
        </w:rPr>
      </w:pPr>
      <w:r w:rsidRPr="00EB5296">
        <w:rPr>
          <w:rFonts w:asciiTheme="minorHAnsi" w:hAnsiTheme="minorHAnsi" w:cstheme="minorHAnsi"/>
          <w:sz w:val="24"/>
          <w:szCs w:val="24"/>
        </w:rPr>
        <w:t>Conformity with specified requirements listed below.</w:t>
      </w:r>
    </w:p>
    <w:p w:rsidR="004833A6" w:rsidRPr="00EB5296" w:rsidRDefault="004833A6">
      <w:pPr>
        <w:spacing w:after="0" w:line="240" w:lineRule="auto"/>
        <w:ind w:left="124"/>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sz w:val="24"/>
          <w:szCs w:val="24"/>
        </w:rPr>
        <w:t xml:space="preserve">Review of assets other than credit facilities. </w:t>
      </w:r>
      <w:r w:rsidRPr="00EB5296">
        <w:rPr>
          <w:rFonts w:asciiTheme="minorHAnsi" w:hAnsiTheme="minorHAnsi" w:cstheme="minorHAnsi"/>
          <w:sz w:val="24"/>
          <w:szCs w:val="24"/>
        </w:rPr>
        <w:t>The following breakdowns must be collected from the banks:</w:t>
      </w:r>
    </w:p>
    <w:p w:rsidR="004833A6" w:rsidRPr="00EB5296" w:rsidRDefault="004833A6">
      <w:pPr>
        <w:pStyle w:val="ListParagraph"/>
        <w:widowControl/>
        <w:spacing w:after="0" w:line="240" w:lineRule="auto"/>
        <w:ind w:left="0"/>
        <w:jc w:val="both"/>
        <w:rPr>
          <w:rFonts w:asciiTheme="minorHAnsi" w:hAnsiTheme="minorHAnsi" w:cstheme="minorHAnsi"/>
          <w:sz w:val="24"/>
          <w:szCs w:val="24"/>
        </w:rPr>
      </w:pPr>
    </w:p>
    <w:p w:rsidR="004833A6" w:rsidRPr="00EB5296" w:rsidRDefault="000A3034">
      <w:pPr>
        <w:widowControl/>
        <w:numPr>
          <w:ilvl w:val="0"/>
          <w:numId w:val="10"/>
        </w:numPr>
        <w:spacing w:after="0" w:line="240" w:lineRule="auto"/>
        <w:ind w:left="990" w:hanging="900"/>
        <w:jc w:val="both"/>
        <w:rPr>
          <w:rFonts w:asciiTheme="minorHAnsi" w:hAnsiTheme="minorHAnsi" w:cstheme="minorHAnsi"/>
          <w:sz w:val="24"/>
          <w:szCs w:val="24"/>
        </w:rPr>
      </w:pPr>
      <w:r w:rsidRPr="00EB5296">
        <w:rPr>
          <w:rFonts w:asciiTheme="minorHAnsi" w:hAnsiTheme="minorHAnsi" w:cstheme="minorHAnsi"/>
          <w:b/>
          <w:sz w:val="24"/>
          <w:szCs w:val="24"/>
        </w:rPr>
        <w:t xml:space="preserve">Amounts held with correspondent banks and loans to other banks and deposits. </w:t>
      </w:r>
      <w:r w:rsidRPr="00EB5296">
        <w:rPr>
          <w:rFonts w:asciiTheme="minorHAnsi" w:hAnsiTheme="minorHAnsi" w:cstheme="minorHAnsi"/>
          <w:sz w:val="24"/>
          <w:szCs w:val="24"/>
        </w:rPr>
        <w:t xml:space="preserve">The bank produces a breakdown of amounts held with correspondent banks, loans, and deposits with other banks as of latest quarter end with information on </w:t>
      </w:r>
      <w:r w:rsidRPr="00EB5296">
        <w:rPr>
          <w:rFonts w:asciiTheme="minorHAnsi" w:hAnsiTheme="minorHAnsi" w:cstheme="minorHAnsi"/>
          <w:sz w:val="24"/>
          <w:szCs w:val="24"/>
        </w:rPr>
        <w:lastRenderedPageBreak/>
        <w:t>counterparty, amount, rate, currency, ratings of banks, country, date of maturity and date of commencement, amount of impairments calculated in accordance with regulations quality category. Information shall be collected in a standardized Excel format.</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0"/>
        </w:numPr>
        <w:spacing w:after="0" w:line="240" w:lineRule="auto"/>
        <w:ind w:left="990" w:hanging="900"/>
        <w:jc w:val="both"/>
        <w:rPr>
          <w:rFonts w:asciiTheme="minorHAnsi" w:hAnsiTheme="minorHAnsi" w:cstheme="minorHAnsi"/>
          <w:sz w:val="24"/>
          <w:szCs w:val="24"/>
        </w:rPr>
      </w:pPr>
      <w:r w:rsidRPr="00EB5296">
        <w:rPr>
          <w:rFonts w:asciiTheme="minorHAnsi" w:hAnsiTheme="minorHAnsi" w:cstheme="minorHAnsi"/>
          <w:b/>
          <w:sz w:val="24"/>
          <w:szCs w:val="24"/>
        </w:rPr>
        <w:t xml:space="preserve">Investment securities. </w:t>
      </w:r>
      <w:r w:rsidRPr="00EB5296">
        <w:rPr>
          <w:rFonts w:asciiTheme="minorHAnsi" w:hAnsiTheme="minorHAnsi" w:cstheme="minorHAnsi"/>
          <w:sz w:val="24"/>
          <w:szCs w:val="24"/>
        </w:rPr>
        <w:t>The bank produces a breakdown of amounts of investment securities as of latest quarter end with information on counterparty, amount, rate, currency, rating of banks, country, date of maturity and date of commencement, amount of impairments calculated in accordance with regulations, quality category, amount, and type of collateral. Information shall be collected in a standardized Excel format.</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0"/>
        </w:numPr>
        <w:spacing w:after="0" w:line="240" w:lineRule="auto"/>
        <w:ind w:left="990" w:hanging="900"/>
        <w:jc w:val="both"/>
        <w:rPr>
          <w:rFonts w:asciiTheme="minorHAnsi" w:hAnsiTheme="minorHAnsi" w:cstheme="minorHAnsi"/>
          <w:sz w:val="24"/>
          <w:szCs w:val="24"/>
        </w:rPr>
      </w:pPr>
      <w:r w:rsidRPr="00EB5296">
        <w:rPr>
          <w:rFonts w:asciiTheme="minorHAnsi" w:hAnsiTheme="minorHAnsi" w:cstheme="minorHAnsi"/>
          <w:b/>
          <w:sz w:val="24"/>
          <w:szCs w:val="24"/>
        </w:rPr>
        <w:t xml:space="preserve">Fixed assets, investment property and assets held for sale in financial statements for the following categories of fixed assets. </w:t>
      </w:r>
      <w:r w:rsidRPr="00EB5296">
        <w:rPr>
          <w:rFonts w:asciiTheme="minorHAnsi" w:hAnsiTheme="minorHAnsi" w:cstheme="minorHAnsi"/>
          <w:sz w:val="24"/>
          <w:szCs w:val="24"/>
        </w:rPr>
        <w:t>Buildings, land, investment property, and breakdown of amounts of any other fixed assets as of latest quarter end, with information on cost, accumulated depreciation, date of addition, useful life, date and amount of revaluation, and method of revaluation. Information shall be collected in a standardized Excel format.</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0"/>
        </w:numPr>
        <w:spacing w:after="0" w:line="240" w:lineRule="auto"/>
        <w:ind w:left="990" w:hanging="900"/>
        <w:jc w:val="both"/>
        <w:rPr>
          <w:rFonts w:asciiTheme="minorHAnsi" w:hAnsiTheme="minorHAnsi" w:cstheme="minorHAnsi"/>
          <w:sz w:val="24"/>
          <w:szCs w:val="24"/>
        </w:rPr>
      </w:pPr>
      <w:r w:rsidRPr="00EB5296">
        <w:rPr>
          <w:rFonts w:asciiTheme="minorHAnsi" w:hAnsiTheme="minorHAnsi" w:cstheme="minorHAnsi"/>
          <w:b/>
          <w:sz w:val="24"/>
          <w:szCs w:val="24"/>
        </w:rPr>
        <w:t xml:space="preserve">Other assets. </w:t>
      </w:r>
      <w:r w:rsidRPr="00EB5296">
        <w:rPr>
          <w:rFonts w:asciiTheme="minorHAnsi" w:hAnsiTheme="minorHAnsi" w:cstheme="minorHAnsi"/>
          <w:sz w:val="24"/>
          <w:szCs w:val="24"/>
        </w:rPr>
        <w:t>For each category of other assets, as of latest quarter end, with the information on counterparty, investment in subsidiaries and/or allied concerns, amount, currency, date of origination, date of last movement, and date of settlement. Information shall be collected in a standardized Excel format.</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sz w:val="24"/>
          <w:szCs w:val="24"/>
        </w:rPr>
        <w:t xml:space="preserve">Reconciliation checks. </w:t>
      </w:r>
      <w:r w:rsidRPr="00EB5296">
        <w:rPr>
          <w:rFonts w:asciiTheme="minorHAnsi" w:hAnsiTheme="minorHAnsi" w:cstheme="minorHAnsi"/>
          <w:sz w:val="24"/>
          <w:szCs w:val="24"/>
        </w:rPr>
        <w:t>The service providers shall review the reliability and completeness of the information and breakdowns through reconciliation checks:</w:t>
      </w:r>
    </w:p>
    <w:p w:rsidR="004833A6" w:rsidRPr="00EB5296" w:rsidRDefault="004833A6">
      <w:pPr>
        <w:pStyle w:val="ListParagraph"/>
        <w:widowControl/>
        <w:spacing w:after="0" w:line="240" w:lineRule="auto"/>
        <w:ind w:left="0"/>
        <w:jc w:val="both"/>
        <w:rPr>
          <w:rFonts w:asciiTheme="minorHAnsi" w:hAnsiTheme="minorHAnsi" w:cstheme="minorHAnsi"/>
          <w:sz w:val="24"/>
          <w:szCs w:val="24"/>
        </w:rPr>
      </w:pPr>
    </w:p>
    <w:p w:rsidR="004833A6" w:rsidRPr="00EB5296" w:rsidRDefault="00011E69" w:rsidP="00011E69">
      <w:pPr>
        <w:widowControl/>
        <w:numPr>
          <w:ilvl w:val="0"/>
          <w:numId w:val="11"/>
        </w:numPr>
        <w:spacing w:after="0" w:line="240" w:lineRule="auto"/>
        <w:ind w:left="360" w:hanging="270"/>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Validating banks’ automated checks confirming that the loan register is consistent with primary sources.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11E69" w:rsidP="00011E69">
      <w:pPr>
        <w:widowControl/>
        <w:numPr>
          <w:ilvl w:val="0"/>
          <w:numId w:val="11"/>
        </w:numPr>
        <w:spacing w:after="0" w:line="240" w:lineRule="auto"/>
        <w:ind w:left="360" w:hanging="270"/>
        <w:jc w:val="both"/>
        <w:rPr>
          <w:rFonts w:asciiTheme="minorHAnsi" w:hAnsiTheme="minorHAnsi" w:cstheme="minorHAnsi"/>
          <w:sz w:val="24"/>
          <w:szCs w:val="24"/>
        </w:rPr>
      </w:pP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Field-specific checks (identify errors, e.g., missing and/or inappropriate values, incorrect formats, duplicate values, etc.).</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rsidP="00011E69">
      <w:pPr>
        <w:widowControl/>
        <w:numPr>
          <w:ilvl w:val="0"/>
          <w:numId w:val="11"/>
        </w:numPr>
        <w:spacing w:after="0" w:line="240" w:lineRule="auto"/>
        <w:ind w:left="360" w:hanging="270"/>
        <w:jc w:val="both"/>
        <w:rPr>
          <w:rFonts w:asciiTheme="minorHAnsi" w:hAnsiTheme="minorHAnsi" w:cstheme="minorHAnsi"/>
          <w:sz w:val="24"/>
          <w:szCs w:val="24"/>
        </w:rPr>
      </w:pPr>
      <w:r w:rsidRPr="00EB5296">
        <w:rPr>
          <w:rFonts w:asciiTheme="minorHAnsi" w:hAnsiTheme="minorHAnsi" w:cstheme="minorHAnsi"/>
          <w:sz w:val="24"/>
          <w:szCs w:val="24"/>
        </w:rPr>
        <w:t>Cross-field checks (checks for inconsistencies between fields e.g., credit &gt; 90 days past due but no non-performing loan flag; sector code consistent with segment definition, etc.).</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rsidP="00011E69">
      <w:pPr>
        <w:widowControl/>
        <w:numPr>
          <w:ilvl w:val="0"/>
          <w:numId w:val="11"/>
        </w:numPr>
        <w:spacing w:after="0" w:line="240" w:lineRule="auto"/>
        <w:ind w:left="450" w:hanging="360"/>
        <w:jc w:val="both"/>
        <w:rPr>
          <w:rFonts w:asciiTheme="minorHAnsi" w:hAnsiTheme="minorHAnsi" w:cstheme="minorHAnsi"/>
          <w:sz w:val="24"/>
          <w:szCs w:val="24"/>
        </w:rPr>
      </w:pPr>
      <w:r w:rsidRPr="00EB5296">
        <w:rPr>
          <w:rFonts w:asciiTheme="minorHAnsi" w:hAnsiTheme="minorHAnsi" w:cstheme="minorHAnsi"/>
          <w:sz w:val="24"/>
          <w:szCs w:val="24"/>
        </w:rPr>
        <w:t>Cross-time checks (e.g., loan issued in November 2021 cannot be &gt; 90 days past due in December 2021).</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b/>
          <w:bCs/>
          <w:sz w:val="24"/>
          <w:szCs w:val="24"/>
        </w:rPr>
      </w:pPr>
      <w:r w:rsidRPr="00EB5296">
        <w:rPr>
          <w:rFonts w:asciiTheme="minorHAnsi" w:hAnsiTheme="minorHAnsi" w:cstheme="minorHAnsi"/>
          <w:b/>
          <w:bCs/>
          <w:sz w:val="24"/>
          <w:szCs w:val="24"/>
        </w:rPr>
        <w:t>Sampling for AQR.</w:t>
      </w:r>
    </w:p>
    <w:p w:rsidR="004833A6" w:rsidRPr="00EB5296" w:rsidRDefault="004833A6">
      <w:pPr>
        <w:pStyle w:val="ListParagraph"/>
        <w:widowControl/>
        <w:spacing w:after="0" w:line="240" w:lineRule="auto"/>
        <w:ind w:left="0"/>
        <w:jc w:val="both"/>
        <w:rPr>
          <w:rFonts w:asciiTheme="minorHAnsi" w:hAnsiTheme="minorHAnsi" w:cstheme="minorHAnsi"/>
          <w:b/>
          <w:bCs/>
          <w:sz w:val="24"/>
          <w:szCs w:val="24"/>
        </w:rPr>
      </w:pPr>
    </w:p>
    <w:p w:rsidR="004833A6" w:rsidRPr="00EB5296" w:rsidRDefault="000A3034" w:rsidP="0022411F">
      <w:pPr>
        <w:widowControl/>
        <w:numPr>
          <w:ilvl w:val="0"/>
          <w:numId w:val="12"/>
        </w:numPr>
        <w:spacing w:after="0" w:line="240" w:lineRule="auto"/>
        <w:ind w:left="450" w:hanging="360"/>
        <w:jc w:val="both"/>
        <w:rPr>
          <w:rFonts w:asciiTheme="minorHAnsi" w:hAnsiTheme="minorHAnsi" w:cstheme="minorHAnsi"/>
          <w:sz w:val="24"/>
          <w:szCs w:val="24"/>
        </w:rPr>
      </w:pPr>
      <w:r w:rsidRPr="00EB5296">
        <w:rPr>
          <w:rFonts w:asciiTheme="minorHAnsi" w:hAnsiTheme="minorHAnsi" w:cstheme="minorHAnsi"/>
          <w:sz w:val="24"/>
          <w:szCs w:val="24"/>
        </w:rPr>
        <w:t>All sampling procedures should be performed on the portfolio segments described above, and any classification and valuation adjustments made to sampled assets should be extrapolated to assets in the segment that have not been sampled.</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11E69" w:rsidP="00011E69">
      <w:pPr>
        <w:widowControl/>
        <w:numPr>
          <w:ilvl w:val="0"/>
          <w:numId w:val="12"/>
        </w:numPr>
        <w:spacing w:after="0" w:line="240" w:lineRule="auto"/>
        <w:ind w:left="360" w:hanging="270"/>
        <w:jc w:val="both"/>
        <w:rPr>
          <w:rFonts w:asciiTheme="minorHAnsi" w:hAnsiTheme="minorHAnsi" w:cstheme="minorHAnsi"/>
          <w:sz w:val="24"/>
          <w:szCs w:val="24"/>
        </w:rPr>
      </w:pPr>
      <w:r w:rsidRPr="00EB5296">
        <w:rPr>
          <w:rFonts w:asciiTheme="minorHAnsi" w:hAnsiTheme="minorHAnsi" w:cstheme="minorHAnsi"/>
          <w:sz w:val="24"/>
          <w:szCs w:val="24"/>
        </w:rPr>
        <w:lastRenderedPageBreak/>
        <w:t xml:space="preserve">  </w:t>
      </w:r>
      <w:r w:rsidR="000A3034" w:rsidRPr="00EB5296">
        <w:rPr>
          <w:rFonts w:asciiTheme="minorHAnsi" w:hAnsiTheme="minorHAnsi" w:cstheme="minorHAnsi"/>
          <w:sz w:val="24"/>
          <w:szCs w:val="24"/>
        </w:rPr>
        <w:t xml:space="preserve">For this purpose, regulatory capital means Tier 1 capital calculated by the bank as of </w:t>
      </w: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latest quarter end in accordance to BB’s regulations and the Bank Company Act.</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rsidP="00011E69">
      <w:pPr>
        <w:widowControl/>
        <w:numPr>
          <w:ilvl w:val="0"/>
          <w:numId w:val="12"/>
        </w:numPr>
        <w:spacing w:after="0" w:line="240" w:lineRule="auto"/>
        <w:ind w:left="540" w:hanging="450"/>
        <w:jc w:val="both"/>
        <w:rPr>
          <w:rFonts w:asciiTheme="minorHAnsi" w:hAnsiTheme="minorHAnsi" w:cstheme="minorHAnsi"/>
          <w:sz w:val="24"/>
          <w:szCs w:val="24"/>
        </w:rPr>
      </w:pPr>
      <w:r w:rsidRPr="00EB5296">
        <w:rPr>
          <w:rFonts w:asciiTheme="minorHAnsi" w:hAnsiTheme="minorHAnsi" w:cstheme="minorHAnsi"/>
          <w:sz w:val="24"/>
          <w:szCs w:val="24"/>
        </w:rPr>
        <w:t>The service provider’s review should cover the following categories of risk- weighted assets for credit risk:</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1"/>
          <w:numId w:val="12"/>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Amounts on correspondent accounts with other banks, loans to other banks, and deposits with other banks, provided that the total carrying value (before provisions) of the exposure to one counterparty is either 2% of the bank’s paid-up capital or BDT500 million whichever is lower for systemic banks and either 2% of the bank’s paid-up capital or BDT100 million whichever is lower for the non-systemic banks.</w:t>
      </w:r>
    </w:p>
    <w:p w:rsidR="004833A6" w:rsidRPr="00EB5296" w:rsidRDefault="004833A6">
      <w:pPr>
        <w:widowControl/>
        <w:spacing w:after="0" w:line="240" w:lineRule="auto"/>
        <w:ind w:left="2236"/>
        <w:jc w:val="both"/>
        <w:rPr>
          <w:rFonts w:asciiTheme="minorHAnsi" w:hAnsiTheme="minorHAnsi" w:cstheme="minorHAnsi"/>
          <w:sz w:val="24"/>
          <w:szCs w:val="24"/>
        </w:rPr>
      </w:pPr>
    </w:p>
    <w:p w:rsidR="004833A6" w:rsidRPr="00EB5296" w:rsidRDefault="000A3034">
      <w:pPr>
        <w:widowControl/>
        <w:numPr>
          <w:ilvl w:val="1"/>
          <w:numId w:val="12"/>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Securities in portfolios held for sale and to maturity, provided that the total carrying value (before provisions) of the asset with respect to a single issuer is either 2% of the bank’s paid-up capital or BDT500 million whichever is lower for systemic banks and either 2% of the bank’s paid- up capital or BDT100 million whichever is lower for the non-systemic banks.</w:t>
      </w:r>
    </w:p>
    <w:p w:rsidR="004833A6" w:rsidRPr="00EB5296" w:rsidRDefault="004833A6">
      <w:pPr>
        <w:widowControl/>
        <w:spacing w:after="0" w:line="240" w:lineRule="auto"/>
        <w:ind w:left="2236"/>
        <w:jc w:val="both"/>
        <w:rPr>
          <w:rFonts w:asciiTheme="minorHAnsi" w:hAnsiTheme="minorHAnsi" w:cstheme="minorHAnsi"/>
          <w:sz w:val="24"/>
          <w:szCs w:val="24"/>
        </w:rPr>
      </w:pPr>
    </w:p>
    <w:p w:rsidR="004833A6" w:rsidRPr="00EB5296" w:rsidRDefault="000A3034">
      <w:pPr>
        <w:widowControl/>
        <w:numPr>
          <w:ilvl w:val="1"/>
          <w:numId w:val="12"/>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For each category of fixed assets (buildings, construction, land, investment property), and non-current assets held for sale provided that the total carrying value of one item individually is either 2% of the bank’s paid-up capital or BDT500 million whichever is lower for systemic banks and either 2% of the bank’s paid-up capital or BDT100 million whichever is lower for the non-systemic banks; and</w:t>
      </w:r>
    </w:p>
    <w:p w:rsidR="004833A6" w:rsidRPr="00EB5296" w:rsidRDefault="004833A6">
      <w:pPr>
        <w:widowControl/>
        <w:spacing w:after="0" w:line="240" w:lineRule="auto"/>
        <w:ind w:left="2236"/>
        <w:jc w:val="both"/>
        <w:rPr>
          <w:rFonts w:asciiTheme="minorHAnsi" w:hAnsiTheme="minorHAnsi" w:cstheme="minorHAnsi"/>
          <w:sz w:val="24"/>
          <w:szCs w:val="24"/>
        </w:rPr>
      </w:pPr>
    </w:p>
    <w:p w:rsidR="004833A6" w:rsidRPr="00EB5296" w:rsidRDefault="000A3034">
      <w:pPr>
        <w:widowControl/>
        <w:numPr>
          <w:ilvl w:val="1"/>
          <w:numId w:val="12"/>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Loans and off balance sheet exposures selected using a targeted sampling approach as presented in Para 12 below.</w:t>
      </w:r>
    </w:p>
    <w:p w:rsidR="004833A6" w:rsidRPr="00EB5296" w:rsidRDefault="004833A6">
      <w:pPr>
        <w:widowControl/>
        <w:spacing w:after="0" w:line="240" w:lineRule="auto"/>
        <w:ind w:left="2236"/>
        <w:jc w:val="both"/>
        <w:rPr>
          <w:rFonts w:asciiTheme="minorHAnsi" w:hAnsiTheme="minorHAnsi" w:cstheme="minorHAnsi"/>
          <w:sz w:val="24"/>
          <w:szCs w:val="24"/>
        </w:rPr>
      </w:pPr>
    </w:p>
    <w:p w:rsidR="004833A6" w:rsidRPr="00EB5296" w:rsidRDefault="000A3034" w:rsidP="0022411F">
      <w:pPr>
        <w:widowControl/>
        <w:numPr>
          <w:ilvl w:val="0"/>
          <w:numId w:val="12"/>
        </w:numPr>
        <w:spacing w:after="0" w:line="240" w:lineRule="auto"/>
        <w:ind w:left="540" w:hanging="450"/>
        <w:jc w:val="both"/>
        <w:rPr>
          <w:rFonts w:asciiTheme="minorHAnsi" w:hAnsiTheme="minorHAnsi" w:cstheme="minorHAnsi"/>
          <w:sz w:val="24"/>
          <w:szCs w:val="24"/>
        </w:rPr>
      </w:pPr>
      <w:r w:rsidRPr="00EB5296">
        <w:rPr>
          <w:rFonts w:asciiTheme="minorHAnsi" w:hAnsiTheme="minorHAnsi" w:cstheme="minorHAnsi"/>
          <w:sz w:val="24"/>
          <w:szCs w:val="24"/>
        </w:rPr>
        <w:t>The sampling procedure will differentiate between assets that are “individually significant” (for which individual credit file reviews should be conducted) and assets that are not “individually significant" (which should be tested on a portfolio basis). Loans to a group of connected counterparties will be treated as loans to a single borrower for the purpose of determining the sample. The service providers will review bank’s determinations (and available documentation) on individual significance.</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sz w:val="24"/>
          <w:szCs w:val="24"/>
        </w:rPr>
        <w:t xml:space="preserve">Loans selection criteria for AQR </w:t>
      </w:r>
      <w:r w:rsidRPr="00EB5296">
        <w:rPr>
          <w:rFonts w:asciiTheme="minorHAnsi" w:hAnsiTheme="minorHAnsi" w:cstheme="minorHAnsi"/>
          <w:sz w:val="24"/>
          <w:szCs w:val="24"/>
        </w:rPr>
        <w:t>(for assets that are "individually significant").</w:t>
      </w:r>
    </w:p>
    <w:p w:rsidR="004833A6" w:rsidRPr="00EB5296" w:rsidRDefault="004833A6">
      <w:pPr>
        <w:pStyle w:val="ListParagraph"/>
        <w:widowControl/>
        <w:spacing w:after="0" w:line="240" w:lineRule="auto"/>
        <w:ind w:left="0"/>
        <w:jc w:val="both"/>
        <w:rPr>
          <w:rFonts w:asciiTheme="minorHAnsi" w:hAnsiTheme="minorHAnsi" w:cstheme="minorHAnsi"/>
          <w:sz w:val="24"/>
          <w:szCs w:val="24"/>
        </w:rPr>
      </w:pPr>
    </w:p>
    <w:p w:rsidR="004833A6" w:rsidRPr="00EB5296" w:rsidRDefault="000A3034" w:rsidP="0022411F">
      <w:pPr>
        <w:widowControl/>
        <w:numPr>
          <w:ilvl w:val="0"/>
          <w:numId w:val="13"/>
        </w:numPr>
        <w:spacing w:after="0" w:line="240" w:lineRule="auto"/>
        <w:ind w:left="540" w:hanging="450"/>
        <w:jc w:val="both"/>
        <w:rPr>
          <w:rFonts w:asciiTheme="minorHAnsi" w:hAnsiTheme="minorHAnsi" w:cstheme="minorHAnsi"/>
          <w:sz w:val="24"/>
          <w:szCs w:val="24"/>
        </w:rPr>
      </w:pPr>
      <w:r w:rsidRPr="00EB5296">
        <w:rPr>
          <w:rFonts w:asciiTheme="minorHAnsi" w:hAnsiTheme="minorHAnsi" w:cstheme="minorHAnsi"/>
          <w:sz w:val="24"/>
          <w:szCs w:val="24"/>
        </w:rPr>
        <w:t>If the total carrying amount of loans or other risk bearing off-balance sheet items per single borrower/connected/related borrowers equals or is either 2% of the bank’s paid-up capital or BDT500 million whichever is lower for systemic banks and either 2% of the bank’s paid-up capital or BDT100 million whichever is lower for the non-systemic banks, all borrower’s assets, including off-balance sheet items generating credit exposures, should be included in the sample for review.</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rsidP="0022411F">
      <w:pPr>
        <w:widowControl/>
        <w:numPr>
          <w:ilvl w:val="0"/>
          <w:numId w:val="13"/>
        </w:numPr>
        <w:spacing w:after="0" w:line="240" w:lineRule="auto"/>
        <w:ind w:left="540" w:hanging="450"/>
        <w:jc w:val="both"/>
        <w:rPr>
          <w:rFonts w:asciiTheme="minorHAnsi" w:hAnsiTheme="minorHAnsi" w:cstheme="minorHAnsi"/>
          <w:sz w:val="24"/>
          <w:szCs w:val="24"/>
        </w:rPr>
      </w:pPr>
      <w:r w:rsidRPr="00EB5296">
        <w:rPr>
          <w:rFonts w:asciiTheme="minorHAnsi" w:hAnsiTheme="minorHAnsi" w:cstheme="minorHAnsi"/>
          <w:sz w:val="24"/>
          <w:szCs w:val="24"/>
        </w:rPr>
        <w:lastRenderedPageBreak/>
        <w:t>The sample should include loans to bank’s ultimate owners and other affiliated persons with total carrying value (excluding provisions) on the reporting date exceeding 1% of the bank’s Tier 1 capital.</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rsidP="0022411F">
      <w:pPr>
        <w:widowControl/>
        <w:numPr>
          <w:ilvl w:val="0"/>
          <w:numId w:val="13"/>
        </w:numPr>
        <w:spacing w:after="0" w:line="240" w:lineRule="auto"/>
        <w:ind w:left="630" w:hanging="540"/>
        <w:jc w:val="both"/>
        <w:rPr>
          <w:rFonts w:asciiTheme="minorHAnsi" w:hAnsiTheme="minorHAnsi" w:cstheme="minorHAnsi"/>
          <w:sz w:val="24"/>
          <w:szCs w:val="24"/>
        </w:rPr>
      </w:pPr>
      <w:r w:rsidRPr="00EB5296">
        <w:rPr>
          <w:rFonts w:asciiTheme="minorHAnsi" w:hAnsiTheme="minorHAnsi" w:cstheme="minorHAnsi"/>
          <w:sz w:val="24"/>
          <w:szCs w:val="24"/>
        </w:rPr>
        <w:t>The list of individually significant loans that are subject to review is generated as follows: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1"/>
          <w:numId w:val="1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Top borrowers by carrying amount (before provisioning) must be sampled in order to achieve a minimum 30% coverage of total carrying amount of credit facilities. In the report, the service providers should provide the description of the approach applied for sampling the credit facilities to legal entities.</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1"/>
          <w:numId w:val="1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following loans granted to individuals are selected: all loans, of which total carrying value (before provisioning) per one borrower is equivalent to XX (FX loans to be converted as of latest quarter end) or more. The rest of the exposures will be reviewed through the collective provisioning review.</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1"/>
          <w:numId w:val="1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All other borrowers generally subject to individual impairment assessment by the bank.</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1"/>
          <w:numId w:val="13"/>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overall minimum coverage of credit facilities under individually significant loans should be 35% of the total carrying amount of credit facilities (before provisioning).</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rsidP="0022411F">
      <w:pPr>
        <w:widowControl/>
        <w:numPr>
          <w:ilvl w:val="0"/>
          <w:numId w:val="13"/>
        </w:numPr>
        <w:spacing w:after="0" w:line="240" w:lineRule="auto"/>
        <w:ind w:left="630" w:hanging="540"/>
        <w:jc w:val="both"/>
        <w:rPr>
          <w:rFonts w:asciiTheme="minorHAnsi" w:hAnsiTheme="minorHAnsi" w:cstheme="minorHAnsi"/>
          <w:sz w:val="24"/>
          <w:szCs w:val="24"/>
        </w:rPr>
      </w:pPr>
      <w:r w:rsidRPr="00EB5296">
        <w:rPr>
          <w:rFonts w:asciiTheme="minorHAnsi" w:hAnsiTheme="minorHAnsi" w:cstheme="minorHAnsi"/>
          <w:sz w:val="24"/>
          <w:szCs w:val="24"/>
        </w:rPr>
        <w:t>The AQR coverage should be 80% of the total assets of the respective banks</w:t>
      </w:r>
    </w:p>
    <w:p w:rsidR="004833A6" w:rsidRPr="00EB5296" w:rsidRDefault="004833A6">
      <w:pPr>
        <w:pStyle w:val="ListParagraph"/>
        <w:spacing w:after="0" w:line="240" w:lineRule="auto"/>
        <w:ind w:left="36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sz w:val="24"/>
          <w:szCs w:val="24"/>
        </w:rPr>
        <w:t xml:space="preserve">Collective provisioning analysis for AQR </w:t>
      </w:r>
      <w:r w:rsidRPr="00EB5296">
        <w:rPr>
          <w:rFonts w:asciiTheme="minorHAnsi" w:hAnsiTheme="minorHAnsi" w:cstheme="minorHAnsi"/>
          <w:sz w:val="24"/>
          <w:szCs w:val="24"/>
        </w:rPr>
        <w:t>(for assets that are not "individually significant").</w:t>
      </w: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This explains the approach to qualitatively and quantitatively assessing the level of provisioning for parts of a bank’s portfolio that would typically be impaired on a collective basis.</w:t>
      </w:r>
    </w:p>
    <w:p w:rsidR="004833A6" w:rsidRPr="00EB5296" w:rsidRDefault="004833A6">
      <w:pPr>
        <w:spacing w:after="0" w:line="240" w:lineRule="auto"/>
        <w:jc w:val="both"/>
        <w:rPr>
          <w:rFonts w:asciiTheme="minorHAnsi" w:hAnsiTheme="minorHAnsi" w:cstheme="minorHAnsi"/>
          <w:sz w:val="14"/>
          <w:szCs w:val="1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approach involves a review of the methodology of the bank’s collective provisioning model for adherence to accounting principles. Then, the calibration of the model is quantitatively sense-checked by the creation of a simple, statistical model to estimate provisioning levels based on point-in-time data (termed the “challenger model”). Differences between the significant bank’s reported provisioning levels and the challenger model provision estimate shall then be understood.</w:t>
      </w: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sz w:val="24"/>
          <w:szCs w:val="24"/>
        </w:rPr>
        <w:t xml:space="preserve">Summary of the approach to collective provisioning analysis. </w:t>
      </w:r>
      <w:r w:rsidRPr="00EB5296">
        <w:rPr>
          <w:rFonts w:asciiTheme="minorHAnsi" w:hAnsiTheme="minorHAnsi" w:cstheme="minorHAnsi"/>
          <w:sz w:val="24"/>
          <w:szCs w:val="24"/>
        </w:rPr>
        <w:t>As a first step, the methodology of the bank’s expected credit loss model is reviewed for adherence to the requirements of BB’s norms and international standards. It should be reviewed with respect to:</w:t>
      </w:r>
    </w:p>
    <w:p w:rsidR="004833A6" w:rsidRPr="00EB5296" w:rsidRDefault="004833A6">
      <w:pPr>
        <w:pStyle w:val="ListParagraph"/>
        <w:widowControl/>
        <w:spacing w:after="0" w:line="240" w:lineRule="auto"/>
        <w:ind w:left="0"/>
        <w:jc w:val="both"/>
        <w:rPr>
          <w:rFonts w:asciiTheme="minorHAnsi" w:hAnsiTheme="minorHAnsi" w:cstheme="minorHAnsi"/>
          <w:sz w:val="24"/>
          <w:szCs w:val="24"/>
        </w:rPr>
      </w:pPr>
    </w:p>
    <w:p w:rsidR="004833A6" w:rsidRPr="00EB5296" w:rsidRDefault="000A3034">
      <w:pPr>
        <w:widowControl/>
        <w:numPr>
          <w:ilvl w:val="0"/>
          <w:numId w:val="14"/>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Reflection of current conditions: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1"/>
          <w:numId w:val="1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Appropriateness of loss emergence period considered</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1"/>
          <w:numId w:val="1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lastRenderedPageBreak/>
        <w:t>Reflection of the current characteristics of the portfolio (e.g., via segmentation)</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0"/>
          <w:numId w:val="14"/>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challenger model needs to be parameterized based on observed data.</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4"/>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high-level approach to parameterization of each element of the calculation will be as follows: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1"/>
          <w:numId w:val="1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PD: percentage of performing exposure that moves to non-performing considering a suitable time period deemed to be best fit for the purpose.</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1"/>
          <w:numId w:val="1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EAD: outstanding balance.</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1"/>
          <w:numId w:val="14"/>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LGD: determine average observed long-term recoveries.</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0"/>
          <w:numId w:val="14"/>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“challenger” model will be applied to the bank’s current portfolio and the outputs compared to the bank’s current provisioning levels to sense-check the bank’s model calibration.</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4"/>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Once the comparison between the service providers’ model and the bank’s calibration are complete, the service providers need to make an assessment as to whether the bank should be required to increase impairments. Any deviation between the bank’s provision level and the challenger model that is less than 5% at the portfolio level will be judged as immaterial and need not be investigated further. If the deviation is between 5% and 15%, then it may be considered immaterial if there are good reasons relating to data or methodology to explain the difference without the need for further investigation. If the challenger model indicates a significant difference of more than 15%, then this should be investigated via comparison with the details of the bank’s model and data.</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4"/>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If the difference is attributed to a different period of calibration (as opposed to an error in the calculation of the bank’s models) then this may be considered as mitigation, if there are plausible well evidenced reasons to believe that it is not representative and all or part of the deviation can be addressed by the use of a wider calibration window. However, the bank would need to have historical information available to justify this. The challenger model will be calibrated on the bank’s own data.</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b/>
          <w:bCs/>
          <w:sz w:val="24"/>
          <w:szCs w:val="24"/>
        </w:rPr>
      </w:pPr>
      <w:r w:rsidRPr="00EB5296">
        <w:rPr>
          <w:rFonts w:asciiTheme="minorHAnsi" w:hAnsiTheme="minorHAnsi" w:cstheme="minorHAnsi"/>
          <w:b/>
          <w:bCs/>
          <w:sz w:val="24"/>
          <w:szCs w:val="24"/>
        </w:rPr>
        <w:t>Asset classification and provisioning/loss reserve levels</w:t>
      </w:r>
    </w:p>
    <w:p w:rsidR="004833A6" w:rsidRPr="00EB5296" w:rsidRDefault="004833A6">
      <w:pPr>
        <w:pStyle w:val="ListParagraph"/>
        <w:widowControl/>
        <w:spacing w:after="0" w:line="240" w:lineRule="auto"/>
        <w:ind w:left="0"/>
        <w:jc w:val="both"/>
        <w:rPr>
          <w:rFonts w:asciiTheme="minorHAnsi" w:hAnsiTheme="minorHAnsi" w:cstheme="minorHAnsi"/>
          <w:b/>
          <w:bCs/>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service providers shall assess the adequacy of banks’ credit impairment provisions and loss reserves. The service providers are expected to clearly demonstrate and justify the methodologies, segmentation, and parameterization used to determine such impairments and loss reserves are adequate and in line with local standards.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lastRenderedPageBreak/>
        <w:t>The service providers shall assess the appropriateness of asset classification valued at amortized costs and fair value. Credit risk bearing assets should be identified and analyzed. The scope of their assessment should cover their share in the bank’s assets and their structure.</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Service providers should identify the adequacy of the bank classification practices with regard to restructured and refinanced loans (forborne loans), to ensure that loan forbearance practices are aligned with the sound classification and provisioning and loans and other credit facilities.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For the loans reviewed the auditor should pay specific attention to the loans that were restructured, reclassified to better category or prolonged during the last three years, and comment as to which of these have been erroneously reclassified to a higher grade and establish reclassification (changes in quality category), rescheduling and, correspondingly, adjustments to the amount of provisions and accrued interests.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auditor should separately specify positions at risk relating to the large groups of inter-connected borrowers with total exposure (before provisions) exceeding 2% of the bank’s paid-up capital or BDT500 million whichever is lower for systemic banks and 2% of the bank’s paid-up capital or BDT100 million whichever is lower for the non-systemic banks as of reporting date, as well as ultimate owners and other affiliated persons of the bank with total book value (before provisions) exceeding 1% of the bank’s Tier 1 capital as of the reporting date, which have been restructured, rescheduled, reclassified to better category, or prolonged during the last seven (07) years.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quality of the credit portfolio, including investment securities, which are categorized as held at amortized cost, should be assessed from the point of view of the size and share of bad and restructured debt and should be analyzed over time with a breakdown by classification categories, sectors, currencies, and categories of borrowers. Collateral should be reviewed for appropriateness of accounting classification and adjustments made to questionable or inappropriately classified assets.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In the case of assets placed with other banks, their share in the credit portfolio, composition (interbank loans and deposits, funds in correspondent accounts), structure (residents and non-residents, types of currency, maturity), and asset diversification by types of operations should be additionally assessed. The service providers shall make its best efforts to verify the status of encumbrance of these assets.</w:t>
      </w: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 xml:space="preserve">Particular attention should be paid to identify and quantify credit concentrations. Connected borrower concentrations representing at least 2% of the bank’s paid-up capital or BDT500 million whichever is lower for systemic banks and 2% of the bank’s paid-up capital or BDT100 million whichever is lower for the non-systemic banks, or industry concentrations representing at least 5%, should be specifically detailed. Connections between borrowers will be defined in accordance with the </w:t>
      </w:r>
      <w:r w:rsidRPr="00EB5296">
        <w:rPr>
          <w:rFonts w:asciiTheme="minorHAnsi" w:hAnsiTheme="minorHAnsi" w:cstheme="minorHAnsi"/>
          <w:sz w:val="24"/>
          <w:szCs w:val="24"/>
        </w:rPr>
        <w:lastRenderedPageBreak/>
        <w:t>Bank Company Act, 1991 and Corporate Governance and Maximum Amount of Accommodation and any other relevant regulations issued by BB. Exposures of each individual concentration exceeding 2% of the bank’s paid-up capital or BDT500 million whichever is lower for systemic banks and 2% of the bank’s paid-up capital or BDT100 million whichever is lower for the non-systemic banks should be individually analyzed, with the service providers commenting on the borrowers’ performance and the probability of repayment according to the existing terms of the credit.</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service providers shall assess the accuracy and timeliness of sampled asset classification by groups of credit risk in accordance with regulations, including the following:</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1"/>
          <w:numId w:val="15"/>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financial status of borrowers, their solvency and ability to timely meet their liabilities to the bank in full; and</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1"/>
          <w:numId w:val="15"/>
        </w:num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quality and sufficiency of security and timely execution of liabilities related to assets, in particular immovable/movable property used as collateral, assignment of legal title to the bank, guarantees, cash security deposit, and loan non-repayment and/or loan protection insurance/term assurance policies.</w:t>
      </w:r>
    </w:p>
    <w:p w:rsidR="004833A6" w:rsidRPr="00EB5296" w:rsidRDefault="004833A6">
      <w:pPr>
        <w:widowControl/>
        <w:spacing w:after="0" w:line="240" w:lineRule="auto"/>
        <w:ind w:left="2325"/>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credit portfolio quality review should include assessment of the accuracy of interest income accrual and acknowledgement in accounting for sampled assets.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service providers will review bank’s collective provisioning models in order to identify cases where the bank’s collective provisioning approach is not in line with accounting rules and to identify the need for mitigating actions by banks with respect to collective provisioning models or policies.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All loans selected in the sample selection process shall undergo the classification review, which should focus on the adequacy of impairment status of loans and their classification according to BB accounting regulation and asset classification regulation, international standards, AQR asset segment classification, and related party lending.</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service providers shall assess encumbrance of all types of the bank’s assets with liabilities of third parties, and the ability of third parties to manage assets and securities without the involvement of the bank.</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service providers shall assess the extent to which special provisions are established on assets (contingent liabilities) and compliance with the procedures and deadlines for writing off uncollectable debt at the expense of the special provision established thereon.</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 xml:space="preserve">The buildings, construction in progress, land and investment property should be analyzed separately in the cases where the individual exposure is more than 10% </w:t>
      </w:r>
      <w:r w:rsidRPr="00EB5296">
        <w:rPr>
          <w:rFonts w:asciiTheme="minorHAnsi" w:hAnsiTheme="minorHAnsi" w:cstheme="minorHAnsi"/>
          <w:sz w:val="24"/>
          <w:szCs w:val="24"/>
        </w:rPr>
        <w:lastRenderedPageBreak/>
        <w:t>of the Tier 1 capital. In particular, the assessment should cover their size, share in total assets, dynamics, reasons for change (for example, purchase of buildings for the bank’s structural subdivisions to be opened, growth of outstanding payments related to capital investments and payments to the budget), and consistency with the bank’s objectives and sources of own funds.</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widowControl/>
        <w:numPr>
          <w:ilvl w:val="0"/>
          <w:numId w:val="15"/>
        </w:numPr>
        <w:spacing w:after="0" w:line="240" w:lineRule="auto"/>
        <w:ind w:left="990" w:hanging="810"/>
        <w:jc w:val="both"/>
        <w:rPr>
          <w:rFonts w:asciiTheme="minorHAnsi" w:hAnsiTheme="minorHAnsi" w:cstheme="minorHAnsi"/>
          <w:sz w:val="24"/>
          <w:szCs w:val="24"/>
        </w:rPr>
      </w:pPr>
      <w:r w:rsidRPr="00EB5296">
        <w:rPr>
          <w:rFonts w:asciiTheme="minorHAnsi" w:hAnsiTheme="minorHAnsi" w:cstheme="minorHAnsi"/>
          <w:sz w:val="24"/>
          <w:szCs w:val="24"/>
        </w:rPr>
        <w:t>The service providers will demonstrate the impact of asset reclassifications and adjustments to impairment provisions and/or loss reserves on bank’s regulatory and Tier 1 capital. The analysis should specify the amount of additional capital, if any, that is necessary to maintain compliance with the BB’s minimum capital requirement.</w:t>
      </w:r>
    </w:p>
    <w:p w:rsidR="004833A6" w:rsidRPr="00EB5296" w:rsidRDefault="004833A6">
      <w:pPr>
        <w:widowControl/>
        <w:spacing w:after="0" w:line="240" w:lineRule="auto"/>
        <w:ind w:left="99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360" w:hanging="720"/>
        <w:jc w:val="both"/>
        <w:rPr>
          <w:rFonts w:asciiTheme="minorHAnsi" w:hAnsiTheme="minorHAnsi" w:cstheme="minorHAnsi"/>
          <w:b/>
          <w:bCs/>
          <w:sz w:val="24"/>
          <w:szCs w:val="24"/>
        </w:rPr>
      </w:pPr>
      <w:r w:rsidRPr="00EB5296">
        <w:rPr>
          <w:rFonts w:asciiTheme="minorHAnsi" w:hAnsiTheme="minorHAnsi" w:cstheme="minorHAnsi"/>
          <w:b/>
          <w:bCs/>
          <w:sz w:val="24"/>
          <w:szCs w:val="24"/>
        </w:rPr>
        <w:t>Collateral valuation and enforcement under AQR</w:t>
      </w:r>
    </w:p>
    <w:p w:rsidR="004833A6" w:rsidRPr="00EB5296" w:rsidRDefault="004833A6">
      <w:pPr>
        <w:pStyle w:val="ListParagraph"/>
        <w:widowControl/>
        <w:spacing w:after="0" w:line="240" w:lineRule="auto"/>
        <w:ind w:left="360"/>
        <w:jc w:val="both"/>
        <w:rPr>
          <w:rFonts w:asciiTheme="minorHAnsi" w:hAnsiTheme="minorHAnsi" w:cstheme="minorHAnsi"/>
          <w:b/>
          <w:bCs/>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applicable physical collateral should be valued by accredited/certified appraisers, using a market and/or income approach consistent with international valuation standards (e.g., RICS, IVS).</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Recovery values should be based on the expected value at liquidation at a future time, with adjustments for forecast changes in collateral market prices, currency fluctuations, as well as discounts for forced-sale and time-value of money effects.</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During loan quality assessment according to employer’s requirements, the service providers should review the last appraisal of collateral, including date of appraisal and the methodology applied. This analysis should be performed in respect of all loans sampled in accordance with the employer’s requirements and shall include the below specifications.</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If an appraisal report is older than 1 year, the service providers should propose adjustment to the value of the collateral based on the change in average market prices and other relevant information (comparative databases, surveys, reports of internal/external professional values available to service providers) and apply discount to every year older than 1 year. Adjustment should be proposed by the service providers in case the estimated values thus obtained are more than 10% lower compared to the value of the assets according to the bank.</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If valuation of collateral was not performed and/or documented or had a material weakness, the bank should undertake the relevant valuation of respective items according to a sampled list provided by the service providers. If ultimately such valuation by the date of AQR completion is either not obtained or not accepted by the service providers, such collateral is disregarded for the purpose of the assessment.</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 xml:space="preserve">The service providers will conduct (directly, or by mandating another independent accredited third-party, engaged for this purpose) reappraisals on [all/a subset of] individually material exposures. The appraisals of at least [one-fifth] of the sampled collateralized loan files should be reviewed, to ensure that </w:t>
      </w:r>
      <w:r w:rsidRPr="00EB5296">
        <w:rPr>
          <w:rFonts w:asciiTheme="minorHAnsi" w:hAnsiTheme="minorHAnsi" w:cstheme="minorHAnsi"/>
          <w:sz w:val="24"/>
          <w:szCs w:val="24"/>
        </w:rPr>
        <w:lastRenderedPageBreak/>
        <w:t>any bias or inaccuracies that may exist in current valuation practices are eliminated. The service providers will use independent values who meet the eligibility criteria set by BB. Full reappraisals should be undertaken in cases where material shortfalls have been found in the bank appraisal and adjusted values should be extrapolated back to the unsampled population.</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For the types of collateral listed below the following approach is taken notwithstanding the other specified criteria set in this diagnostic exercise:</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1"/>
          <w:numId w:val="16"/>
        </w:numPr>
        <w:spacing w:after="0" w:line="240" w:lineRule="auto"/>
        <w:ind w:left="2160" w:hanging="990"/>
        <w:jc w:val="both"/>
        <w:rPr>
          <w:rFonts w:asciiTheme="minorHAnsi" w:hAnsiTheme="minorHAnsi" w:cstheme="minorHAnsi"/>
          <w:sz w:val="24"/>
          <w:szCs w:val="24"/>
        </w:rPr>
      </w:pPr>
      <w:r w:rsidRPr="00EB5296">
        <w:rPr>
          <w:rFonts w:asciiTheme="minorHAnsi" w:hAnsiTheme="minorHAnsi" w:cstheme="minorHAnsi"/>
          <w:b/>
          <w:sz w:val="24"/>
          <w:szCs w:val="24"/>
        </w:rPr>
        <w:t xml:space="preserve">Guarantees. </w:t>
      </w:r>
      <w:r w:rsidRPr="00EB5296">
        <w:rPr>
          <w:rFonts w:asciiTheme="minorHAnsi" w:hAnsiTheme="minorHAnsi" w:cstheme="minorHAnsi"/>
          <w:sz w:val="24"/>
          <w:szCs w:val="24"/>
        </w:rPr>
        <w:t>For guarantees issued by government bodies, the service providers should make sure the respective amounts of guarantees are included in government or regional government budgets in which case they may be used in the assessment of guarantees issued by legal entities and individuals are disregarded for the purpose of provisions assessment.</w:t>
      </w:r>
    </w:p>
    <w:p w:rsidR="004833A6" w:rsidRPr="00EB5296" w:rsidRDefault="004833A6">
      <w:pPr>
        <w:widowControl/>
        <w:spacing w:after="0" w:line="240" w:lineRule="auto"/>
        <w:ind w:left="2160"/>
        <w:jc w:val="both"/>
        <w:rPr>
          <w:rFonts w:asciiTheme="minorHAnsi" w:hAnsiTheme="minorHAnsi" w:cstheme="minorHAnsi"/>
          <w:sz w:val="24"/>
          <w:szCs w:val="24"/>
        </w:rPr>
      </w:pPr>
    </w:p>
    <w:p w:rsidR="004833A6" w:rsidRPr="00EB5296" w:rsidRDefault="000A3034">
      <w:pPr>
        <w:widowControl/>
        <w:numPr>
          <w:ilvl w:val="1"/>
          <w:numId w:val="16"/>
        </w:numPr>
        <w:spacing w:after="0" w:line="240" w:lineRule="auto"/>
        <w:ind w:left="2160" w:hanging="990"/>
        <w:jc w:val="both"/>
        <w:rPr>
          <w:rFonts w:asciiTheme="minorHAnsi" w:hAnsiTheme="minorHAnsi" w:cstheme="minorHAnsi"/>
          <w:sz w:val="24"/>
          <w:szCs w:val="24"/>
        </w:rPr>
      </w:pPr>
      <w:r w:rsidRPr="00EB5296">
        <w:rPr>
          <w:rFonts w:asciiTheme="minorHAnsi" w:hAnsiTheme="minorHAnsi" w:cstheme="minorHAnsi"/>
          <w:b/>
          <w:sz w:val="24"/>
          <w:szCs w:val="24"/>
        </w:rPr>
        <w:t xml:space="preserve">Insured credit risk. </w:t>
      </w:r>
      <w:r w:rsidRPr="00EB5296">
        <w:rPr>
          <w:rFonts w:asciiTheme="minorHAnsi" w:hAnsiTheme="minorHAnsi" w:cstheme="minorHAnsi"/>
          <w:sz w:val="24"/>
          <w:szCs w:val="24"/>
        </w:rPr>
        <w:t>Where credit exposures are insured, the service providers should make sure the insurance company is not a related party either of the participating bank or the borrower (unless the insurance company and participating bank and/or the borrower are state-owned entities) in which case the insurance is accounted for in provisions assessment without any discounts.</w:t>
      </w:r>
    </w:p>
    <w:p w:rsidR="004833A6" w:rsidRPr="00EB5296" w:rsidRDefault="004833A6">
      <w:pPr>
        <w:widowControl/>
        <w:spacing w:after="0" w:line="240" w:lineRule="auto"/>
        <w:ind w:left="2160"/>
        <w:jc w:val="both"/>
        <w:rPr>
          <w:rFonts w:asciiTheme="minorHAnsi" w:hAnsiTheme="minorHAnsi" w:cstheme="minorHAnsi"/>
          <w:sz w:val="24"/>
          <w:szCs w:val="24"/>
        </w:rPr>
      </w:pPr>
    </w:p>
    <w:p w:rsidR="004833A6" w:rsidRPr="00EB5296" w:rsidRDefault="000A3034">
      <w:pPr>
        <w:widowControl/>
        <w:numPr>
          <w:ilvl w:val="1"/>
          <w:numId w:val="16"/>
        </w:numPr>
        <w:spacing w:after="0" w:line="240" w:lineRule="auto"/>
        <w:ind w:left="2160" w:hanging="990"/>
        <w:jc w:val="both"/>
        <w:rPr>
          <w:rFonts w:asciiTheme="minorHAnsi" w:hAnsiTheme="minorHAnsi" w:cstheme="minorHAnsi"/>
          <w:sz w:val="24"/>
          <w:szCs w:val="24"/>
        </w:rPr>
      </w:pPr>
      <w:r w:rsidRPr="00EB5296">
        <w:rPr>
          <w:rFonts w:asciiTheme="minorHAnsi" w:hAnsiTheme="minorHAnsi" w:cstheme="minorHAnsi"/>
          <w:b/>
          <w:sz w:val="24"/>
          <w:szCs w:val="24"/>
        </w:rPr>
        <w:t xml:space="preserve">Stocks pledged as collateral. </w:t>
      </w:r>
      <w:r w:rsidRPr="00EB5296">
        <w:rPr>
          <w:rFonts w:asciiTheme="minorHAnsi" w:hAnsiTheme="minorHAnsi" w:cstheme="minorHAnsi"/>
          <w:sz w:val="24"/>
          <w:szCs w:val="24"/>
        </w:rPr>
        <w:t>If there is an appraisal of stocks pledged as collateral which meets all the specified criteria under this diagnostic exercise, no additional discounts to the collateral shall be applied by the service providers. Otherwise, the service providers may apply a 70% haircut to the value of collateral.</w:t>
      </w:r>
    </w:p>
    <w:p w:rsidR="004833A6" w:rsidRPr="00EB5296" w:rsidRDefault="004833A6">
      <w:pPr>
        <w:widowControl/>
        <w:spacing w:after="0" w:line="240" w:lineRule="auto"/>
        <w:ind w:left="2160"/>
        <w:jc w:val="both"/>
        <w:rPr>
          <w:rFonts w:asciiTheme="minorHAnsi" w:hAnsiTheme="minorHAnsi" w:cstheme="minorHAnsi"/>
          <w:sz w:val="24"/>
          <w:szCs w:val="24"/>
        </w:rPr>
      </w:pPr>
    </w:p>
    <w:p w:rsidR="004833A6" w:rsidRPr="00EB5296" w:rsidRDefault="000A3034">
      <w:pPr>
        <w:widowControl/>
        <w:numPr>
          <w:ilvl w:val="1"/>
          <w:numId w:val="16"/>
        </w:numPr>
        <w:spacing w:after="0" w:line="240" w:lineRule="auto"/>
        <w:ind w:left="2160" w:hanging="990"/>
        <w:jc w:val="both"/>
        <w:rPr>
          <w:rFonts w:asciiTheme="minorHAnsi" w:hAnsiTheme="minorHAnsi" w:cstheme="minorHAnsi"/>
          <w:sz w:val="24"/>
          <w:szCs w:val="24"/>
        </w:rPr>
      </w:pPr>
      <w:r w:rsidRPr="00EB5296">
        <w:rPr>
          <w:rFonts w:asciiTheme="minorHAnsi" w:hAnsiTheme="minorHAnsi" w:cstheme="minorHAnsi"/>
          <w:b/>
          <w:sz w:val="24"/>
          <w:szCs w:val="24"/>
        </w:rPr>
        <w:t xml:space="preserve">Types of collateral to be discarded. </w:t>
      </w:r>
      <w:r w:rsidRPr="00EB5296">
        <w:rPr>
          <w:rFonts w:asciiTheme="minorHAnsi" w:hAnsiTheme="minorHAnsi" w:cstheme="minorHAnsi"/>
          <w:sz w:val="24"/>
          <w:szCs w:val="24"/>
        </w:rPr>
        <w:t>The following types of collateral are discarded for the purpose of provisions assessment: liens over borrowers’ revenue and/or accounts receivable and unquoted shares.</w:t>
      </w:r>
    </w:p>
    <w:p w:rsidR="004833A6" w:rsidRPr="00EB5296" w:rsidRDefault="004833A6">
      <w:pPr>
        <w:widowControl/>
        <w:spacing w:after="0" w:line="240" w:lineRule="auto"/>
        <w:ind w:left="216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service providers should assess and document the quality of appraisal reports in line with Bank Company Act, 1991 Directions on Regulatory Framework on Valuation of Immovable Property of Licensed Commercial Banks and Licensed Specialized Banks, and other prudential regulations considering background, qualification, and experience of valuation experts, adequacy of staff number to the business size, design and implementation of the valuation policies, quality of appraisal work documentation and substantiation of professional judgment.</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Failure to meet any applicable criteria may indicate impairment of the quality of the valuation service provider, its valuations, and weakness of the bank’s valuation policy.</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lastRenderedPageBreak/>
        <w:t>The service providers shall also review the strength of collateral claim—i.e., challenge whether collateral can be realistically converted into recovery value in a timely manner. In cases where the legal claim on collateral is questionable (e.g., personal guarantees, multiple liens, state-owned property or outstanding litigation or planning issues) the collateral value should be discounted appropriately or discarded.</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banks should provide the service provider their estimate as of the review date as to the period from default on the loan to collateral disposal cash collection. The service providers should review it for reasonableness with reference to the market or reputable independent appraiser opinions. If the period exceeds one year, an adjustment by the bank or the service providers should be made for the time value of money.</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Valuation of foreclosed assets is based on the same principles as outlined above.</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service provider should assess as of the review date fair value of fixed assets: buildings, construction, land, investment property, non-circulating assets held for sale of the bank if it exceeds individually 10% of bank’s Tier 1 capital. The valuation should be performed according to international standards of valuation.</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6"/>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For any financial assets other than loans which exceed 2% of the bank’s paid- up capital or BDT</w:t>
      </w:r>
      <w:r w:rsidR="00ED2BC4" w:rsidRPr="00EB5296">
        <w:rPr>
          <w:rFonts w:asciiTheme="minorHAnsi" w:hAnsiTheme="minorHAnsi" w:cstheme="minorHAnsi"/>
          <w:sz w:val="24"/>
          <w:szCs w:val="24"/>
        </w:rPr>
        <w:t xml:space="preserve"> </w:t>
      </w:r>
      <w:r w:rsidRPr="00EB5296">
        <w:rPr>
          <w:rFonts w:asciiTheme="minorHAnsi" w:hAnsiTheme="minorHAnsi" w:cstheme="minorHAnsi"/>
          <w:sz w:val="24"/>
          <w:szCs w:val="24"/>
        </w:rPr>
        <w:t>500 million whichever is lower for systemic banks and 2% of the bank’s paid-up capital or BDT</w:t>
      </w:r>
      <w:r w:rsidR="00ED2BC4" w:rsidRPr="00EB5296">
        <w:rPr>
          <w:rFonts w:asciiTheme="minorHAnsi" w:hAnsiTheme="minorHAnsi" w:cstheme="minorHAnsi"/>
          <w:sz w:val="24"/>
          <w:szCs w:val="24"/>
        </w:rPr>
        <w:t xml:space="preserve"> </w:t>
      </w:r>
      <w:r w:rsidRPr="00EB5296">
        <w:rPr>
          <w:rFonts w:asciiTheme="minorHAnsi" w:hAnsiTheme="minorHAnsi" w:cstheme="minorHAnsi"/>
          <w:sz w:val="24"/>
          <w:szCs w:val="24"/>
        </w:rPr>
        <w:t>100 million whichever is lower for the non- systemic banks, the service providers should analyze the bank’s assessment of fair value with reference either to latest market price for the asset based on publicly available data for the specific asset, or to a valuation technique and disclose this technique. In rare cases when there is no reliable data available for the fair valuation, the service providers should disclose this fact and relevant circumstances in their report. The interest rates applied for valuation of instruments using discounted cash flow techniques are to be in accordance with the regulations and guidelines issued.</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360" w:hanging="720"/>
        <w:jc w:val="both"/>
        <w:rPr>
          <w:rFonts w:asciiTheme="minorHAnsi" w:hAnsiTheme="minorHAnsi" w:cstheme="minorHAnsi"/>
          <w:b/>
          <w:bCs/>
          <w:sz w:val="24"/>
          <w:szCs w:val="24"/>
        </w:rPr>
      </w:pPr>
      <w:r w:rsidRPr="00EB5296">
        <w:rPr>
          <w:rFonts w:asciiTheme="minorHAnsi" w:hAnsiTheme="minorHAnsi" w:cstheme="minorHAnsi"/>
          <w:b/>
          <w:bCs/>
          <w:sz w:val="24"/>
          <w:szCs w:val="24"/>
        </w:rPr>
        <w:t xml:space="preserve">Credit and FX risk management framework assessment. </w:t>
      </w:r>
    </w:p>
    <w:p w:rsidR="004833A6" w:rsidRPr="00EB5296" w:rsidRDefault="004833A6">
      <w:pPr>
        <w:pStyle w:val="BodyText"/>
        <w:ind w:left="158"/>
        <w:rPr>
          <w:rFonts w:asciiTheme="minorHAnsi" w:hAnsiTheme="minorHAnsi" w:cstheme="minorHAnsi"/>
          <w:sz w:val="24"/>
          <w:szCs w:val="24"/>
        </w:rPr>
      </w:pPr>
    </w:p>
    <w:p w:rsidR="004833A6" w:rsidRPr="00EB5296" w:rsidRDefault="000A3034">
      <w:pPr>
        <w:pStyle w:val="BodyText"/>
        <w:ind w:left="158"/>
        <w:rPr>
          <w:rFonts w:asciiTheme="minorHAnsi" w:hAnsiTheme="minorHAnsi" w:cstheme="minorHAnsi"/>
          <w:sz w:val="24"/>
          <w:szCs w:val="24"/>
        </w:rPr>
      </w:pPr>
      <w:r w:rsidRPr="00EB5296">
        <w:rPr>
          <w:rFonts w:asciiTheme="minorHAnsi" w:hAnsiTheme="minorHAnsi" w:cstheme="minorHAnsi"/>
          <w:sz w:val="24"/>
          <w:szCs w:val="24"/>
        </w:rPr>
        <w:t>The service providers shall analyze the policies, processes, models and controls for credit and FX risk identification, valuation, monitoring and mitigation, as well as the compliance of the bank’s credit and FX risk management system against current regulatory practices of BB and international best practices.</w:t>
      </w:r>
    </w:p>
    <w:p w:rsidR="004833A6" w:rsidRPr="00EB5296" w:rsidRDefault="004833A6">
      <w:pPr>
        <w:pStyle w:val="BodyText"/>
        <w:ind w:left="158"/>
        <w:rPr>
          <w:rFonts w:asciiTheme="minorHAnsi" w:hAnsiTheme="minorHAnsi" w:cstheme="minorHAnsi"/>
          <w:sz w:val="24"/>
          <w:szCs w:val="24"/>
        </w:rPr>
      </w:pPr>
    </w:p>
    <w:p w:rsidR="004833A6" w:rsidRPr="00EB5296" w:rsidRDefault="000A3034">
      <w:pPr>
        <w:pStyle w:val="BodyText"/>
        <w:ind w:left="158"/>
        <w:rPr>
          <w:rFonts w:asciiTheme="minorHAnsi" w:hAnsiTheme="minorHAnsi" w:cstheme="minorHAnsi"/>
          <w:sz w:val="24"/>
          <w:szCs w:val="24"/>
        </w:rPr>
      </w:pPr>
      <w:r w:rsidRPr="00EB5296">
        <w:rPr>
          <w:rFonts w:asciiTheme="minorHAnsi" w:hAnsiTheme="minorHAnsi" w:cstheme="minorHAnsi"/>
          <w:sz w:val="24"/>
          <w:szCs w:val="24"/>
        </w:rPr>
        <w:t>The service providers shall identify the presence of any conflicts of interest in decision-making on provision of loans, as well as appraise the bank’s framework to identify and eliminate such conflicts of interests.</w:t>
      </w:r>
    </w:p>
    <w:p w:rsidR="004833A6" w:rsidRPr="00EB5296" w:rsidRDefault="004833A6">
      <w:pPr>
        <w:pStyle w:val="BodyText"/>
        <w:ind w:left="158"/>
        <w:rPr>
          <w:rFonts w:asciiTheme="minorHAnsi" w:hAnsiTheme="minorHAnsi" w:cstheme="minorHAnsi"/>
          <w:sz w:val="24"/>
          <w:szCs w:val="24"/>
        </w:rPr>
      </w:pPr>
    </w:p>
    <w:p w:rsidR="004833A6" w:rsidRPr="00EB5296" w:rsidRDefault="000A3034">
      <w:pPr>
        <w:pStyle w:val="BodyText"/>
        <w:ind w:left="158"/>
        <w:rPr>
          <w:rFonts w:asciiTheme="minorHAnsi" w:hAnsiTheme="minorHAnsi" w:cstheme="minorHAnsi"/>
          <w:sz w:val="24"/>
          <w:szCs w:val="24"/>
        </w:rPr>
      </w:pPr>
      <w:r w:rsidRPr="00EB5296">
        <w:rPr>
          <w:rFonts w:asciiTheme="minorHAnsi" w:hAnsiTheme="minorHAnsi" w:cstheme="minorHAnsi"/>
          <w:sz w:val="24"/>
          <w:szCs w:val="24"/>
        </w:rPr>
        <w:t xml:space="preserve">The service providers shall analyze and assess each bank’s policies, processes, models and controls for credit risk identification, valuation, monitoring and mitigation, as well as the compliance of the bank’s credit risk management system, BB Regulations, against </w:t>
      </w:r>
      <w:r w:rsidRPr="00EB5296">
        <w:rPr>
          <w:rFonts w:asciiTheme="minorHAnsi" w:hAnsiTheme="minorHAnsi" w:cstheme="minorHAnsi"/>
          <w:sz w:val="24"/>
          <w:szCs w:val="24"/>
        </w:rPr>
        <w:lastRenderedPageBreak/>
        <w:t>international best practices, including:</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widowControl/>
        <w:numPr>
          <w:ilvl w:val="0"/>
          <w:numId w:val="17"/>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methodologies of credit risk management (credit risk assessment models, internal ratings and/or other methodologies) and the bank’s framework of quantitative and qualitative indicators characterizing the activity, business reputation, financial status, prospects of functioning, and impact of external factors on the ability to meet their liabilities to the bank in the case of the borrower, guarantor (surety), issuer of securities, and counterpart for contingent liabilities;</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7"/>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consistency of the result of solvency assessment with historical data on facts of credit risk realization, prompt revision of the solvency assessment framework in case of significant divergence from historical data; the ability of the framework to ensure identification of signs of the borrower’s financial instability;</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7"/>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quality (reliability, accuracy) and sufficiency of the volume of information analyzed by the bank to assess the borrower’s ability to meet his liabilities to the bank;</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7"/>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bank’s framework to assess the quality and sufficiency of security of timely execution of liabilities under a loan contract, including the methodology of evaluating the fair value and liquidity of collateral;</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7"/>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methodology of calculating lending limits per borrower (group of related borrowers), insiders and parties related to them; and</w:t>
      </w:r>
    </w:p>
    <w:p w:rsidR="004833A6" w:rsidRPr="00EB5296" w:rsidRDefault="004833A6">
      <w:pPr>
        <w:widowControl/>
        <w:spacing w:after="0" w:line="240" w:lineRule="auto"/>
        <w:ind w:left="1080"/>
        <w:jc w:val="both"/>
        <w:rPr>
          <w:rFonts w:asciiTheme="minorHAnsi" w:hAnsiTheme="minorHAnsi" w:cstheme="minorHAnsi"/>
          <w:sz w:val="24"/>
          <w:szCs w:val="24"/>
        </w:rPr>
      </w:pPr>
    </w:p>
    <w:p w:rsidR="004833A6" w:rsidRPr="00EB5296" w:rsidRDefault="000A3034">
      <w:pPr>
        <w:widowControl/>
        <w:numPr>
          <w:ilvl w:val="0"/>
          <w:numId w:val="17"/>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bank’s policies for selecting correspondent banks, the bank’s criteria and measures to avoid conflicts of interests.</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b/>
          <w:bCs/>
          <w:sz w:val="24"/>
          <w:szCs w:val="24"/>
        </w:rPr>
      </w:pPr>
      <w:r w:rsidRPr="00EB5296">
        <w:rPr>
          <w:rFonts w:asciiTheme="minorHAnsi" w:hAnsiTheme="minorHAnsi" w:cstheme="minorHAnsi"/>
          <w:b/>
          <w:bCs/>
          <w:sz w:val="24"/>
          <w:szCs w:val="24"/>
        </w:rPr>
        <w:t>List of reports, schedule of deliveries and period of performance (Deliverables and timing)</w:t>
      </w: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service provider shall submit the following deliverables directly to the BB as per the timeline below:</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2"/>
          <w:numId w:val="18"/>
        </w:numPr>
        <w:spacing w:after="0" w:line="240" w:lineRule="auto"/>
        <w:ind w:left="1080" w:hanging="810"/>
        <w:jc w:val="both"/>
        <w:rPr>
          <w:rFonts w:asciiTheme="minorHAnsi" w:hAnsiTheme="minorHAnsi" w:cstheme="minorHAnsi"/>
          <w:sz w:val="24"/>
          <w:szCs w:val="24"/>
        </w:rPr>
      </w:pPr>
      <w:r w:rsidRPr="00EB5296">
        <w:rPr>
          <w:rFonts w:asciiTheme="minorHAnsi" w:hAnsiTheme="minorHAnsi" w:cstheme="minorHAnsi"/>
          <w:sz w:val="24"/>
          <w:szCs w:val="24"/>
        </w:rPr>
        <w:t xml:space="preserve">Within 15 business days after signing the contract, the service providers will draft an inception report, outlining their plan of action, methodological assumptions, and detailed timeline. </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2"/>
          <w:numId w:val="18"/>
        </w:numPr>
        <w:spacing w:after="0" w:line="240" w:lineRule="auto"/>
        <w:ind w:left="1080" w:hanging="810"/>
        <w:jc w:val="both"/>
        <w:rPr>
          <w:rFonts w:asciiTheme="minorHAnsi" w:hAnsiTheme="minorHAnsi" w:cstheme="minorHAnsi"/>
          <w:sz w:val="24"/>
          <w:szCs w:val="24"/>
        </w:rPr>
      </w:pPr>
      <w:r w:rsidRPr="00EB5296">
        <w:rPr>
          <w:rFonts w:asciiTheme="minorHAnsi" w:hAnsiTheme="minorHAnsi" w:cstheme="minorHAnsi"/>
          <w:sz w:val="24"/>
          <w:szCs w:val="24"/>
        </w:rPr>
        <w:t xml:space="preserve">The service providers should perform components in Para 5 identified in this Employer’s Requirements within 120 calendar days from the date of the contract. </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2"/>
          <w:numId w:val="18"/>
        </w:numPr>
        <w:spacing w:after="0" w:line="240" w:lineRule="auto"/>
        <w:ind w:left="1080" w:hanging="810"/>
        <w:jc w:val="both"/>
        <w:rPr>
          <w:rFonts w:asciiTheme="minorHAnsi" w:hAnsiTheme="minorHAnsi" w:cstheme="minorHAnsi"/>
          <w:sz w:val="24"/>
          <w:szCs w:val="24"/>
        </w:rPr>
      </w:pPr>
      <w:r w:rsidRPr="00EB5296">
        <w:rPr>
          <w:rFonts w:asciiTheme="minorHAnsi" w:hAnsiTheme="minorHAnsi" w:cstheme="minorHAnsi"/>
          <w:sz w:val="24"/>
          <w:szCs w:val="24"/>
        </w:rPr>
        <w:t xml:space="preserve">Service providers shall submit regular status update reports to BB on a monthly basis from the date of signing the contract. </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Reports prepared by the service providers shall be comprehensive, precise, and accurate, presenting findings, analysis, and conclusions in a clear and concise way; and where appropriate, include detailed information (e.g., overview of reviewed loans, detailed </w:t>
      </w:r>
      <w:r w:rsidRPr="00EB5296">
        <w:rPr>
          <w:rFonts w:asciiTheme="minorHAnsi" w:hAnsiTheme="minorHAnsi" w:cstheme="minorHAnsi"/>
          <w:sz w:val="24"/>
          <w:szCs w:val="24"/>
        </w:rPr>
        <w:lastRenderedPageBreak/>
        <w:t xml:space="preserve">breakdown of identified adjustments to loan impairment provisions, including provisions for off-balance sheet exposures, and loss reserves) in appendices. </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 xml:space="preserve">Based on the results of the assessment, performed by the service provider, a report in English, signed by the Senior-most Engaged Partner(s) based in abroad, is to be delivered to reflect the information on all the above-mentioned criteria of review. </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b/>
          <w:bCs/>
          <w:sz w:val="24"/>
          <w:szCs w:val="24"/>
        </w:rPr>
      </w:pPr>
      <w:r w:rsidRPr="00EB5296">
        <w:rPr>
          <w:rFonts w:asciiTheme="minorHAnsi" w:hAnsiTheme="minorHAnsi" w:cstheme="minorHAnsi"/>
          <w:b/>
          <w:bCs/>
          <w:sz w:val="24"/>
          <w:szCs w:val="24"/>
        </w:rPr>
        <w:t xml:space="preserve">The report delivered by the service provider should cover, but not be limited to: </w:t>
      </w:r>
    </w:p>
    <w:p w:rsidR="004833A6" w:rsidRPr="00EB5296" w:rsidRDefault="004833A6">
      <w:pPr>
        <w:pStyle w:val="ListParagraph"/>
        <w:widowControl/>
        <w:spacing w:after="0" w:line="240" w:lineRule="auto"/>
        <w:ind w:left="0"/>
        <w:jc w:val="both"/>
        <w:rPr>
          <w:rFonts w:asciiTheme="minorHAnsi" w:hAnsiTheme="minorHAnsi" w:cstheme="minorHAnsi"/>
          <w:b/>
          <w:bCs/>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An executive summary of key findings and remedial actions to be undertaken, with priority order.</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A description of the work conducted, including information on the selection of files that were subjected to a review and, where relevant, any issues with data segmentation and data integrity.</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An overview of the bank’s credit portfolio (on and off-balance sheet) as of latest quarter end, highlighting, inter alia, portfolio segmentation, risk concentrations and the distribution and aging of the non-performing portfolio; this should be provided in summary descriptive form in the main report as well as a spreadsheet containing granular loan stratification tables in excel format for each asset class, providing output for impairments and provisions pre and post-AQR assessment.</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A specification of all adjustments deemed necessary by the service providers, accompanied by brief explanation (i.e., adjustments to asset classifications, accounting and regulatory provisions, collateral appraisals and interest accrual on exposures that are reclassified as non-performing) including a specification of additional adjustments and associated implications for capital adequacy in accordance with directions issued by BB.</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The list of all adjustments deemed necessary for the purpose of AQR for assets’ carrying amounts in stand-alone financial statements of banks, prepared in accordance with Regulations, with brief explanation and reconciliation of the impact of proposed adjustments on reported Regulatory and Tier 1 capital in accordance with the requirements of BB regulation on setting prudential ratios to commercial banks.</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An analysis of the implications of the AQR’s findings for participants’ capital adequacy, including a specification of additional capital needs as computed against the BB minimum capital requirements, if any.</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Calculation of additional capital needs, including adjusted risk-weighted assets, should be based on the adjusted portfolio asset quality following the AQR.</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 xml:space="preserve">An electronic template (as given by BB) with standard prudential indicators (e.g., capital adequacy, liquidity ratios, NPLs, open net FX position, etc. in line with the </w:t>
      </w:r>
      <w:r w:rsidRPr="00EB5296">
        <w:rPr>
          <w:rFonts w:asciiTheme="minorHAnsi" w:hAnsiTheme="minorHAnsi" w:cstheme="minorHAnsi"/>
          <w:sz w:val="24"/>
          <w:szCs w:val="24"/>
        </w:rPr>
        <w:lastRenderedPageBreak/>
        <w:t>Bank Company Act, 1991 and data on large exposures, including exposures to connected clients. The service providers shall provide this information to the BB, as defined in Para 5(ii) of this employer’s requirements;</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pStyle w:val="ListParagraph"/>
        <w:widowControl/>
        <w:numPr>
          <w:ilvl w:val="1"/>
          <w:numId w:val="19"/>
        </w:numPr>
        <w:spacing w:after="0" w:line="240" w:lineRule="auto"/>
        <w:ind w:left="1080" w:hanging="900"/>
        <w:jc w:val="both"/>
        <w:rPr>
          <w:rFonts w:asciiTheme="minorHAnsi" w:hAnsiTheme="minorHAnsi" w:cstheme="minorHAnsi"/>
          <w:sz w:val="24"/>
          <w:szCs w:val="24"/>
        </w:rPr>
      </w:pPr>
      <w:r w:rsidRPr="00EB5296">
        <w:rPr>
          <w:rFonts w:asciiTheme="minorHAnsi" w:hAnsiTheme="minorHAnsi" w:cstheme="minorHAnsi"/>
          <w:sz w:val="24"/>
          <w:szCs w:val="24"/>
        </w:rPr>
        <w:t>If during the Diagnostic Study the Auditors identify significant departures from the accounting principles as defined by the BB accounting regulations, the auditor should specifically comment on such departures in the report; and</w:t>
      </w:r>
    </w:p>
    <w:p w:rsidR="004833A6" w:rsidRPr="00EB5296" w:rsidRDefault="004833A6">
      <w:pPr>
        <w:pStyle w:val="ListParagraph"/>
        <w:widowControl/>
        <w:spacing w:after="0" w:line="240" w:lineRule="auto"/>
        <w:ind w:left="1080"/>
        <w:jc w:val="both"/>
        <w:rPr>
          <w:rFonts w:asciiTheme="minorHAnsi" w:hAnsiTheme="minorHAnsi" w:cstheme="minorHAnsi"/>
          <w:sz w:val="24"/>
          <w:szCs w:val="24"/>
        </w:rPr>
      </w:pPr>
    </w:p>
    <w:p w:rsidR="004833A6" w:rsidRPr="00EB5296" w:rsidRDefault="000A3034">
      <w:pPr>
        <w:spacing w:after="0" w:line="240" w:lineRule="auto"/>
        <w:jc w:val="both"/>
        <w:rPr>
          <w:rFonts w:asciiTheme="minorHAnsi" w:hAnsiTheme="minorHAnsi" w:cstheme="minorHAnsi"/>
          <w:sz w:val="24"/>
          <w:szCs w:val="24"/>
        </w:rPr>
      </w:pPr>
      <w:r w:rsidRPr="00EB5296">
        <w:rPr>
          <w:rFonts w:asciiTheme="minorHAnsi" w:hAnsiTheme="minorHAnsi" w:cstheme="minorHAnsi"/>
          <w:sz w:val="24"/>
          <w:szCs w:val="24"/>
        </w:rPr>
        <w:t>The credit risk management assessment report should contain a description of bank’s policies and procedures covering all issues described under AQR and provide detailed recommendations of how the credit risk management framework needs to be strengthened. Service providers are expected to discuss their findings with the banks prior to finalizing their reports, but only after such findings have been presented to the BB. Discussions with banks will focus exclusively on the technical analysis and accuracy of the findings.</w:t>
      </w:r>
    </w:p>
    <w:p w:rsidR="004833A6" w:rsidRPr="00EB5296" w:rsidRDefault="004833A6">
      <w:pPr>
        <w:spacing w:after="0" w:line="240" w:lineRule="auto"/>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sz w:val="24"/>
          <w:szCs w:val="24"/>
        </w:rPr>
        <w:t>Requirements</w:t>
      </w:r>
      <w:r w:rsidR="00AA22FA" w:rsidRPr="00EB5296">
        <w:rPr>
          <w:rFonts w:asciiTheme="minorHAnsi" w:hAnsiTheme="minorHAnsi" w:cstheme="minorHAnsi"/>
          <w:b/>
          <w:sz w:val="24"/>
          <w:szCs w:val="24"/>
        </w:rPr>
        <w:t xml:space="preserve"> </w:t>
      </w:r>
      <w:r w:rsidRPr="00EB5296">
        <w:rPr>
          <w:rFonts w:asciiTheme="minorHAnsi" w:hAnsiTheme="minorHAnsi" w:cstheme="minorHAnsi"/>
          <w:b/>
          <w:sz w:val="24"/>
          <w:szCs w:val="24"/>
        </w:rPr>
        <w:t>for</w:t>
      </w:r>
      <w:r w:rsidR="00AA22FA" w:rsidRPr="00EB5296">
        <w:rPr>
          <w:rFonts w:asciiTheme="minorHAnsi" w:hAnsiTheme="minorHAnsi" w:cstheme="minorHAnsi"/>
          <w:b/>
          <w:sz w:val="24"/>
          <w:szCs w:val="24"/>
        </w:rPr>
        <w:t xml:space="preserve"> </w:t>
      </w:r>
      <w:r w:rsidRPr="00EB5296">
        <w:rPr>
          <w:rFonts w:asciiTheme="minorHAnsi" w:hAnsiTheme="minorHAnsi" w:cstheme="minorHAnsi"/>
          <w:b/>
          <w:sz w:val="24"/>
          <w:szCs w:val="24"/>
        </w:rPr>
        <w:t>the</w:t>
      </w:r>
      <w:r w:rsidR="00AA22FA" w:rsidRPr="00EB5296">
        <w:rPr>
          <w:rFonts w:asciiTheme="minorHAnsi" w:hAnsiTheme="minorHAnsi" w:cstheme="minorHAnsi"/>
          <w:b/>
          <w:sz w:val="24"/>
          <w:szCs w:val="24"/>
        </w:rPr>
        <w:t xml:space="preserve"> </w:t>
      </w:r>
      <w:r w:rsidRPr="00EB5296">
        <w:rPr>
          <w:rFonts w:asciiTheme="minorHAnsi" w:hAnsiTheme="minorHAnsi" w:cstheme="minorHAnsi"/>
          <w:b/>
          <w:sz w:val="24"/>
          <w:szCs w:val="24"/>
        </w:rPr>
        <w:t>service provider(s) (Personnel).</w:t>
      </w:r>
      <w:r w:rsidRPr="00EB5296">
        <w:rPr>
          <w:rFonts w:asciiTheme="minorHAnsi" w:hAnsiTheme="minorHAnsi" w:cstheme="minorHAnsi"/>
          <w:sz w:val="24"/>
          <w:szCs w:val="24"/>
        </w:rPr>
        <w:t>The service providers should meet the following requirements:</w:t>
      </w:r>
    </w:p>
    <w:p w:rsidR="004833A6" w:rsidRPr="00EB5296" w:rsidRDefault="004833A6" w:rsidP="00E15F7B">
      <w:pPr>
        <w:pStyle w:val="ListParagraph"/>
        <w:widowControl/>
        <w:spacing w:after="0" w:line="240" w:lineRule="auto"/>
        <w:ind w:left="0"/>
        <w:jc w:val="both"/>
        <w:rPr>
          <w:rFonts w:asciiTheme="minorHAnsi" w:hAnsiTheme="minorHAnsi" w:cstheme="minorHAnsi"/>
          <w:sz w:val="24"/>
          <w:szCs w:val="24"/>
        </w:rPr>
      </w:pPr>
    </w:p>
    <w:p w:rsidR="004833A6" w:rsidRPr="00EB5296" w:rsidRDefault="00E15F7B" w:rsidP="00AF4916">
      <w:pPr>
        <w:pStyle w:val="ListParagraph"/>
        <w:numPr>
          <w:ilvl w:val="0"/>
          <w:numId w:val="20"/>
        </w:numPr>
        <w:tabs>
          <w:tab w:val="left" w:pos="720"/>
        </w:tabs>
        <w:autoSpaceDE w:val="0"/>
        <w:autoSpaceDN w:val="0"/>
        <w:spacing w:after="0" w:line="240" w:lineRule="auto"/>
        <w:ind w:left="720" w:right="158" w:hanging="540"/>
        <w:contextualSpacing w:val="0"/>
        <w:jc w:val="both"/>
        <w:rPr>
          <w:rFonts w:asciiTheme="minorHAnsi" w:hAnsiTheme="minorHAnsi" w:cstheme="minorHAnsi"/>
          <w:sz w:val="24"/>
          <w:szCs w:val="24"/>
        </w:rPr>
      </w:pPr>
      <w:r w:rsidRPr="00EB5296">
        <w:rPr>
          <w:rFonts w:asciiTheme="minorHAnsi" w:hAnsiTheme="minorHAnsi" w:cstheme="minorHAnsi"/>
          <w:sz w:val="24"/>
          <w:szCs w:val="24"/>
        </w:rPr>
        <w:t xml:space="preserve">Service </w:t>
      </w:r>
      <w:r w:rsidR="000A3034" w:rsidRPr="00EB5296">
        <w:rPr>
          <w:rFonts w:asciiTheme="minorHAnsi" w:hAnsiTheme="minorHAnsi" w:cstheme="minorHAnsi"/>
          <w:sz w:val="24"/>
          <w:szCs w:val="24"/>
        </w:rPr>
        <w:t>provider(s)</w:t>
      </w:r>
      <w:r w:rsidR="005A2051"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shall</w:t>
      </w: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be</w:t>
      </w: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an</w:t>
      </w: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international</w:t>
      </w: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audit</w:t>
      </w: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firm</w:t>
      </w: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with</w:t>
      </w:r>
      <w:r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experience</w:t>
      </w:r>
      <w:r w:rsidR="00AF4916" w:rsidRPr="00EB5296">
        <w:rPr>
          <w:rFonts w:asciiTheme="minorHAnsi" w:hAnsiTheme="minorHAnsi" w:cstheme="minorHAnsi"/>
          <w:sz w:val="24"/>
          <w:szCs w:val="24"/>
        </w:rPr>
        <w:t xml:space="preserve"> </w:t>
      </w:r>
      <w:r w:rsidR="000A3034" w:rsidRPr="00EB5296">
        <w:rPr>
          <w:rFonts w:asciiTheme="minorHAnsi" w:hAnsiTheme="minorHAnsi" w:cstheme="minorHAnsi"/>
          <w:sz w:val="24"/>
          <w:szCs w:val="24"/>
        </w:rPr>
        <w:t>in providing consulting services in the area of AQR.</w:t>
      </w:r>
    </w:p>
    <w:p w:rsidR="004833A6" w:rsidRPr="00EB5296" w:rsidRDefault="004833A6" w:rsidP="00AF4916">
      <w:pPr>
        <w:pStyle w:val="ListParagraph"/>
        <w:tabs>
          <w:tab w:val="left" w:pos="720"/>
          <w:tab w:val="left" w:pos="1605"/>
        </w:tabs>
        <w:autoSpaceDE w:val="0"/>
        <w:autoSpaceDN w:val="0"/>
        <w:spacing w:after="0" w:line="240" w:lineRule="auto"/>
        <w:ind w:left="1094" w:right="158"/>
        <w:contextualSpacing w:val="0"/>
        <w:jc w:val="both"/>
        <w:rPr>
          <w:rFonts w:asciiTheme="minorHAnsi" w:hAnsiTheme="minorHAnsi" w:cstheme="minorHAnsi"/>
          <w:sz w:val="24"/>
          <w:szCs w:val="24"/>
        </w:rPr>
      </w:pPr>
    </w:p>
    <w:p w:rsidR="004833A6" w:rsidRPr="00EB5296" w:rsidRDefault="000A3034" w:rsidP="00AF4916">
      <w:pPr>
        <w:pStyle w:val="ListParagraph"/>
        <w:numPr>
          <w:ilvl w:val="0"/>
          <w:numId w:val="20"/>
        </w:numPr>
        <w:tabs>
          <w:tab w:val="left" w:pos="720"/>
        </w:tabs>
        <w:autoSpaceDE w:val="0"/>
        <w:autoSpaceDN w:val="0"/>
        <w:spacing w:after="0" w:line="240" w:lineRule="auto"/>
        <w:ind w:left="720" w:right="158" w:hanging="540"/>
        <w:contextualSpacing w:val="0"/>
        <w:jc w:val="both"/>
        <w:rPr>
          <w:rFonts w:asciiTheme="minorHAnsi" w:hAnsiTheme="minorHAnsi" w:cstheme="minorHAnsi"/>
          <w:sz w:val="24"/>
          <w:szCs w:val="24"/>
        </w:rPr>
      </w:pPr>
      <w:r w:rsidRPr="00EB5296">
        <w:rPr>
          <w:rFonts w:asciiTheme="minorHAnsi" w:hAnsiTheme="minorHAnsi" w:cstheme="minorHAnsi"/>
          <w:sz w:val="24"/>
          <w:szCs w:val="24"/>
        </w:rPr>
        <w:t>Service providers(s) shall need to bring on board Islamic financial experts for Sariah based banks, branches and windows.</w:t>
      </w:r>
    </w:p>
    <w:p w:rsidR="004833A6" w:rsidRPr="00EB5296" w:rsidRDefault="004833A6" w:rsidP="00AF4916">
      <w:pPr>
        <w:pStyle w:val="ListParagraph"/>
        <w:tabs>
          <w:tab w:val="left" w:pos="720"/>
          <w:tab w:val="left" w:pos="1605"/>
        </w:tabs>
        <w:autoSpaceDE w:val="0"/>
        <w:autoSpaceDN w:val="0"/>
        <w:spacing w:after="0" w:line="240" w:lineRule="auto"/>
        <w:ind w:left="1094" w:right="158"/>
        <w:contextualSpacing w:val="0"/>
        <w:jc w:val="both"/>
        <w:rPr>
          <w:rFonts w:asciiTheme="minorHAnsi" w:hAnsiTheme="minorHAnsi" w:cstheme="minorHAnsi"/>
          <w:sz w:val="24"/>
          <w:szCs w:val="24"/>
        </w:rPr>
      </w:pPr>
    </w:p>
    <w:p w:rsidR="004833A6" w:rsidRPr="00EB5296" w:rsidRDefault="000A3034" w:rsidP="00AF4916">
      <w:pPr>
        <w:pStyle w:val="ListParagraph"/>
        <w:numPr>
          <w:ilvl w:val="0"/>
          <w:numId w:val="20"/>
        </w:numPr>
        <w:tabs>
          <w:tab w:val="left" w:pos="720"/>
          <w:tab w:val="left" w:pos="1605"/>
        </w:tabs>
        <w:autoSpaceDE w:val="0"/>
        <w:autoSpaceDN w:val="0"/>
        <w:spacing w:after="0" w:line="240" w:lineRule="auto"/>
        <w:ind w:left="720" w:right="158" w:hanging="540"/>
        <w:contextualSpacing w:val="0"/>
        <w:jc w:val="both"/>
        <w:rPr>
          <w:rFonts w:asciiTheme="minorHAnsi" w:hAnsiTheme="minorHAnsi" w:cstheme="minorHAnsi"/>
          <w:sz w:val="24"/>
          <w:szCs w:val="24"/>
        </w:rPr>
      </w:pPr>
      <w:r w:rsidRPr="00EB5296">
        <w:rPr>
          <w:rFonts w:asciiTheme="minorHAnsi" w:hAnsiTheme="minorHAnsi" w:cstheme="minorHAnsi"/>
          <w:sz w:val="24"/>
          <w:szCs w:val="24"/>
        </w:rPr>
        <w:t>Service providers(s) and its affiliated firms shall not have performed audits for the relevant bank during the last five years.</w:t>
      </w:r>
    </w:p>
    <w:p w:rsidR="004833A6" w:rsidRPr="00EB5296" w:rsidRDefault="004833A6" w:rsidP="00AF4916">
      <w:pPr>
        <w:pStyle w:val="ListParagraph"/>
        <w:tabs>
          <w:tab w:val="left" w:pos="720"/>
          <w:tab w:val="left" w:pos="1605"/>
        </w:tabs>
        <w:autoSpaceDE w:val="0"/>
        <w:autoSpaceDN w:val="0"/>
        <w:spacing w:after="0" w:line="240" w:lineRule="auto"/>
        <w:ind w:left="1094" w:right="158"/>
        <w:contextualSpacing w:val="0"/>
        <w:jc w:val="both"/>
        <w:rPr>
          <w:rFonts w:asciiTheme="minorHAnsi" w:hAnsiTheme="minorHAnsi" w:cstheme="minorHAnsi"/>
          <w:sz w:val="24"/>
          <w:szCs w:val="24"/>
        </w:rPr>
      </w:pPr>
    </w:p>
    <w:p w:rsidR="004833A6" w:rsidRPr="00EB5296" w:rsidRDefault="000A3034" w:rsidP="00AF4916">
      <w:pPr>
        <w:pStyle w:val="ListParagraph"/>
        <w:numPr>
          <w:ilvl w:val="0"/>
          <w:numId w:val="20"/>
        </w:numPr>
        <w:tabs>
          <w:tab w:val="left" w:pos="720"/>
          <w:tab w:val="left" w:pos="1605"/>
        </w:tabs>
        <w:autoSpaceDE w:val="0"/>
        <w:autoSpaceDN w:val="0"/>
        <w:spacing w:after="0" w:line="240" w:lineRule="auto"/>
        <w:ind w:left="720" w:right="158" w:hanging="540"/>
        <w:contextualSpacing w:val="0"/>
        <w:jc w:val="both"/>
        <w:rPr>
          <w:rFonts w:asciiTheme="minorHAnsi" w:hAnsiTheme="minorHAnsi" w:cstheme="minorHAnsi"/>
          <w:sz w:val="24"/>
          <w:szCs w:val="24"/>
        </w:rPr>
      </w:pPr>
      <w:r w:rsidRPr="00EB5296">
        <w:rPr>
          <w:rFonts w:asciiTheme="minorHAnsi" w:hAnsiTheme="minorHAnsi" w:cstheme="minorHAnsi"/>
          <w:sz w:val="24"/>
          <w:szCs w:val="24"/>
        </w:rPr>
        <w:t>Team</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deployed</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by</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Service provider(s)</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shall</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have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at</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least</w:t>
      </w:r>
      <w:r w:rsidR="00ED2BC4" w:rsidRPr="00EB5296">
        <w:rPr>
          <w:rFonts w:asciiTheme="minorHAnsi" w:hAnsiTheme="minorHAnsi" w:cstheme="minorHAnsi"/>
          <w:sz w:val="24"/>
          <w:szCs w:val="24"/>
        </w:rPr>
        <w:t xml:space="preserve"> </w:t>
      </w:r>
      <w:r w:rsidRPr="00EB5296">
        <w:rPr>
          <w:rFonts w:asciiTheme="minorHAnsi" w:hAnsiTheme="minorHAnsi" w:cstheme="minorHAnsi"/>
          <w:sz w:val="24"/>
          <w:szCs w:val="24"/>
        </w:rPr>
        <w:t>60%</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 xml:space="preserve">foreign </w:t>
      </w:r>
      <w:r w:rsidRPr="00EB5296">
        <w:rPr>
          <w:rFonts w:asciiTheme="minorHAnsi" w:hAnsiTheme="minorHAnsi" w:cstheme="minorHAnsi"/>
          <w:spacing w:val="-2"/>
          <w:sz w:val="24"/>
          <w:szCs w:val="24"/>
        </w:rPr>
        <w:t>experts inputs (Person months).</w:t>
      </w:r>
    </w:p>
    <w:p w:rsidR="004833A6" w:rsidRPr="00EB5296" w:rsidRDefault="004833A6" w:rsidP="00AF4916">
      <w:pPr>
        <w:pStyle w:val="ListParagraph"/>
        <w:tabs>
          <w:tab w:val="left" w:pos="720"/>
          <w:tab w:val="left" w:pos="1605"/>
        </w:tabs>
        <w:autoSpaceDE w:val="0"/>
        <w:autoSpaceDN w:val="0"/>
        <w:spacing w:after="0" w:line="240" w:lineRule="auto"/>
        <w:ind w:left="1094" w:right="158"/>
        <w:contextualSpacing w:val="0"/>
        <w:jc w:val="both"/>
        <w:rPr>
          <w:rFonts w:asciiTheme="minorHAnsi" w:hAnsiTheme="minorHAnsi" w:cstheme="minorHAnsi"/>
          <w:sz w:val="24"/>
          <w:szCs w:val="24"/>
        </w:rPr>
      </w:pPr>
    </w:p>
    <w:p w:rsidR="004833A6" w:rsidRPr="00EB5296" w:rsidRDefault="000A3034" w:rsidP="00AF4916">
      <w:pPr>
        <w:pStyle w:val="ListParagraph"/>
        <w:numPr>
          <w:ilvl w:val="0"/>
          <w:numId w:val="20"/>
        </w:numPr>
        <w:tabs>
          <w:tab w:val="left" w:pos="720"/>
          <w:tab w:val="left" w:pos="1605"/>
        </w:tabs>
        <w:autoSpaceDE w:val="0"/>
        <w:autoSpaceDN w:val="0"/>
        <w:spacing w:after="0" w:line="240" w:lineRule="auto"/>
        <w:ind w:left="720" w:right="158" w:hanging="540"/>
        <w:contextualSpacing w:val="0"/>
        <w:jc w:val="both"/>
        <w:rPr>
          <w:rFonts w:asciiTheme="minorHAnsi" w:hAnsiTheme="minorHAnsi" w:cstheme="minorHAnsi"/>
          <w:sz w:val="24"/>
          <w:szCs w:val="24"/>
        </w:rPr>
      </w:pPr>
      <w:r w:rsidRPr="00EB5296">
        <w:rPr>
          <w:rFonts w:asciiTheme="minorHAnsi" w:hAnsiTheme="minorHAnsi" w:cstheme="minorHAnsi"/>
          <w:sz w:val="24"/>
          <w:szCs w:val="24"/>
        </w:rPr>
        <w:t>In</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order</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to</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achieve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quality</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assurance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that</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AQR</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was</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done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in</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line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with international</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standards,</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all</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reports</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required</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by</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these employer’s requirements</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should</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be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signed</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off by</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Senior-most</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Engaged</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Partner(s)</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based</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in</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abroad</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with</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relevant,</w:t>
      </w:r>
      <w:r w:rsidR="005A2051" w:rsidRPr="00EB5296">
        <w:rPr>
          <w:rFonts w:asciiTheme="minorHAnsi" w:hAnsiTheme="minorHAnsi" w:cstheme="minorHAnsi"/>
          <w:sz w:val="24"/>
          <w:szCs w:val="24"/>
        </w:rPr>
        <w:t xml:space="preserve"> </w:t>
      </w:r>
      <w:r w:rsidRPr="00EB5296">
        <w:rPr>
          <w:rFonts w:asciiTheme="minorHAnsi" w:hAnsiTheme="minorHAnsi" w:cstheme="minorHAnsi"/>
          <w:sz w:val="24"/>
          <w:szCs w:val="24"/>
        </w:rPr>
        <w:t>including international, experience.</w:t>
      </w:r>
    </w:p>
    <w:p w:rsidR="004833A6" w:rsidRPr="00EB5296" w:rsidRDefault="004833A6" w:rsidP="00AF4916">
      <w:pPr>
        <w:pStyle w:val="ListParagraph"/>
        <w:tabs>
          <w:tab w:val="left" w:pos="720"/>
          <w:tab w:val="left" w:pos="1605"/>
        </w:tabs>
        <w:autoSpaceDE w:val="0"/>
        <w:autoSpaceDN w:val="0"/>
        <w:spacing w:after="0" w:line="240" w:lineRule="auto"/>
        <w:ind w:left="1094" w:right="158"/>
        <w:contextualSpacing w:val="0"/>
        <w:jc w:val="both"/>
        <w:rPr>
          <w:rFonts w:asciiTheme="minorHAnsi" w:hAnsiTheme="minorHAnsi" w:cstheme="minorHAnsi"/>
          <w:sz w:val="24"/>
          <w:szCs w:val="24"/>
        </w:rPr>
      </w:pPr>
    </w:p>
    <w:p w:rsidR="004833A6" w:rsidRPr="00EB5296" w:rsidRDefault="000A3034" w:rsidP="00AF4916">
      <w:pPr>
        <w:pStyle w:val="ListParagraph"/>
        <w:numPr>
          <w:ilvl w:val="0"/>
          <w:numId w:val="20"/>
        </w:numPr>
        <w:tabs>
          <w:tab w:val="left" w:pos="720"/>
        </w:tabs>
        <w:autoSpaceDE w:val="0"/>
        <w:autoSpaceDN w:val="0"/>
        <w:spacing w:after="0" w:line="240" w:lineRule="auto"/>
        <w:ind w:left="720" w:right="158" w:hanging="540"/>
        <w:contextualSpacing w:val="0"/>
        <w:jc w:val="both"/>
        <w:rPr>
          <w:rFonts w:asciiTheme="minorHAnsi" w:hAnsiTheme="minorHAnsi" w:cstheme="minorHAnsi"/>
          <w:sz w:val="24"/>
          <w:szCs w:val="24"/>
        </w:rPr>
      </w:pPr>
      <w:r w:rsidRPr="00EB5296">
        <w:rPr>
          <w:rFonts w:asciiTheme="minorHAnsi" w:hAnsiTheme="minorHAnsi" w:cstheme="minorHAnsi"/>
          <w:sz w:val="24"/>
          <w:szCs w:val="24"/>
        </w:rPr>
        <w:t>At the time of undertaking to conduct the AQR, the service provider(s) must be independent</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any</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member</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Board</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Directors,</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any</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executive</w:t>
      </w:r>
      <w:r w:rsidR="00382443" w:rsidRPr="00EB5296">
        <w:rPr>
          <w:rFonts w:asciiTheme="minorHAnsi" w:hAnsiTheme="minorHAnsi" w:cstheme="minorHAnsi"/>
          <w:sz w:val="24"/>
          <w:szCs w:val="24"/>
        </w:rPr>
        <w:t xml:space="preserve"> </w:t>
      </w:r>
      <w:r w:rsidRPr="00EB5296">
        <w:rPr>
          <w:rFonts w:asciiTheme="minorHAnsi" w:hAnsiTheme="minorHAnsi" w:cstheme="minorHAnsi"/>
          <w:sz w:val="24"/>
          <w:szCs w:val="24"/>
        </w:rPr>
        <w:t>officer,</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or senior manager of the bank. Independence implies that the senior managing partner, and any partner, or staff who would be involved in the AQR is not serving</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as</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a</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director</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a</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participant</w:t>
      </w:r>
      <w:r w:rsidR="00C62871" w:rsidRPr="00EB5296">
        <w:rPr>
          <w:rFonts w:asciiTheme="minorHAnsi" w:hAnsiTheme="minorHAnsi" w:cstheme="minorHAnsi"/>
          <w:sz w:val="24"/>
          <w:szCs w:val="24"/>
        </w:rPr>
        <w:t xml:space="preserve"> </w:t>
      </w:r>
      <w:r w:rsidRPr="00EB5296">
        <w:rPr>
          <w:rFonts w:asciiTheme="minorHAnsi" w:hAnsiTheme="minorHAnsi" w:cstheme="minorHAnsi"/>
          <w:sz w:val="24"/>
          <w:szCs w:val="24"/>
        </w:rPr>
        <w:t>(i.e.</w:t>
      </w:r>
      <w:r w:rsidR="00F05223" w:rsidRPr="00EB5296">
        <w:rPr>
          <w:rFonts w:asciiTheme="minorHAnsi" w:hAnsiTheme="minorHAnsi" w:cstheme="minorHAnsi"/>
          <w:sz w:val="24"/>
          <w:szCs w:val="24"/>
        </w:rPr>
        <w:t xml:space="preserve"> </w:t>
      </w:r>
      <w:r w:rsidRPr="00EB5296">
        <w:rPr>
          <w:rFonts w:asciiTheme="minorHAnsi" w:hAnsiTheme="minorHAnsi" w:cstheme="minorHAnsi"/>
          <w:sz w:val="24"/>
          <w:szCs w:val="24"/>
        </w:rPr>
        <w:t>bank,</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bank’s</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subsidiaries</w:t>
      </w:r>
      <w:r w:rsidR="00A654B3" w:rsidRPr="00EB5296">
        <w:rPr>
          <w:rFonts w:asciiTheme="minorHAnsi" w:hAnsiTheme="minorHAnsi" w:cstheme="minorHAnsi"/>
          <w:sz w:val="24"/>
          <w:szCs w:val="24"/>
        </w:rPr>
        <w:t xml:space="preserve"> </w:t>
      </w:r>
      <w:r w:rsidRPr="00EB5296">
        <w:rPr>
          <w:rFonts w:asciiTheme="minorHAnsi" w:hAnsiTheme="minorHAnsi" w:cstheme="minorHAnsi"/>
          <w:sz w:val="24"/>
          <w:szCs w:val="24"/>
        </w:rPr>
        <w:t>and/or</w:t>
      </w:r>
      <w:r w:rsidR="00F05223" w:rsidRPr="00EB5296">
        <w:rPr>
          <w:rFonts w:asciiTheme="minorHAnsi" w:hAnsiTheme="minorHAnsi" w:cstheme="minorHAnsi"/>
          <w:sz w:val="24"/>
          <w:szCs w:val="24"/>
        </w:rPr>
        <w:t xml:space="preserve"> </w:t>
      </w:r>
      <w:r w:rsidRPr="00EB5296">
        <w:rPr>
          <w:rFonts w:asciiTheme="minorHAnsi" w:hAnsiTheme="minorHAnsi" w:cstheme="minorHAnsi"/>
          <w:sz w:val="24"/>
          <w:szCs w:val="24"/>
        </w:rPr>
        <w:t>allied concerns), nor has any personal, financial, or close business relationship with a participant or its shareholders or any other conflicts of interest that may preclude the service provider(s) from conducting the AQR for one or more participants in an independent manner.</w:t>
      </w:r>
    </w:p>
    <w:p w:rsidR="004833A6" w:rsidRPr="00EB5296" w:rsidRDefault="004833A6" w:rsidP="00AF4916">
      <w:pPr>
        <w:pStyle w:val="ListParagraph"/>
        <w:tabs>
          <w:tab w:val="left" w:pos="720"/>
        </w:tabs>
        <w:autoSpaceDE w:val="0"/>
        <w:autoSpaceDN w:val="0"/>
        <w:spacing w:after="0" w:line="240" w:lineRule="auto"/>
        <w:ind w:left="1094" w:right="158"/>
        <w:contextualSpacing w:val="0"/>
        <w:jc w:val="both"/>
        <w:rPr>
          <w:rFonts w:asciiTheme="minorHAnsi" w:hAnsiTheme="minorHAnsi" w:cstheme="minorHAnsi"/>
          <w:sz w:val="24"/>
          <w:szCs w:val="24"/>
        </w:rPr>
      </w:pPr>
    </w:p>
    <w:p w:rsidR="004833A6" w:rsidRPr="00EB5296" w:rsidRDefault="000A3034" w:rsidP="004C7DE9">
      <w:pPr>
        <w:pStyle w:val="ListParagraph"/>
        <w:numPr>
          <w:ilvl w:val="0"/>
          <w:numId w:val="20"/>
        </w:numPr>
        <w:tabs>
          <w:tab w:val="left" w:pos="720"/>
        </w:tabs>
        <w:autoSpaceDE w:val="0"/>
        <w:autoSpaceDN w:val="0"/>
        <w:spacing w:after="0" w:line="240" w:lineRule="auto"/>
        <w:ind w:left="720" w:right="158" w:hanging="540"/>
        <w:contextualSpacing w:val="0"/>
        <w:jc w:val="both"/>
        <w:rPr>
          <w:rFonts w:asciiTheme="minorHAnsi" w:hAnsiTheme="minorHAnsi" w:cstheme="minorHAnsi"/>
          <w:sz w:val="24"/>
          <w:szCs w:val="24"/>
        </w:rPr>
      </w:pPr>
      <w:r w:rsidRPr="00EB5296">
        <w:rPr>
          <w:rFonts w:asciiTheme="minorHAnsi" w:hAnsiTheme="minorHAnsi" w:cstheme="minorHAnsi"/>
          <w:sz w:val="24"/>
          <w:szCs w:val="24"/>
        </w:rPr>
        <w:t xml:space="preserve">Service provider(s) are precluded from seeking or discussing any business relationship with any participant for which it has been selected for the whole </w:t>
      </w:r>
      <w:r w:rsidRPr="00EB5296">
        <w:rPr>
          <w:rFonts w:asciiTheme="minorHAnsi" w:hAnsiTheme="minorHAnsi" w:cstheme="minorHAnsi"/>
          <w:sz w:val="24"/>
          <w:szCs w:val="24"/>
        </w:rPr>
        <w:lastRenderedPageBreak/>
        <w:t>duration of the diagnostic study.</w:t>
      </w:r>
    </w:p>
    <w:p w:rsidR="004833A6" w:rsidRPr="00EB5296" w:rsidRDefault="004833A6" w:rsidP="00AF4916">
      <w:pPr>
        <w:pStyle w:val="ListParagraph"/>
        <w:tabs>
          <w:tab w:val="left" w:pos="720"/>
        </w:tabs>
        <w:autoSpaceDE w:val="0"/>
        <w:autoSpaceDN w:val="0"/>
        <w:spacing w:after="0" w:line="240" w:lineRule="auto"/>
        <w:ind w:left="1094" w:right="158"/>
        <w:contextualSpacing w:val="0"/>
        <w:jc w:val="both"/>
        <w:rPr>
          <w:rFonts w:asciiTheme="minorHAnsi" w:hAnsiTheme="minorHAnsi" w:cstheme="minorHAnsi"/>
          <w:sz w:val="24"/>
          <w:szCs w:val="24"/>
        </w:rPr>
      </w:pPr>
    </w:p>
    <w:p w:rsidR="004833A6" w:rsidRPr="00EB5296" w:rsidRDefault="000A3034" w:rsidP="00AF4916">
      <w:pPr>
        <w:pStyle w:val="ListParagraph"/>
        <w:numPr>
          <w:ilvl w:val="0"/>
          <w:numId w:val="20"/>
        </w:numPr>
        <w:tabs>
          <w:tab w:val="left" w:pos="720"/>
        </w:tabs>
        <w:autoSpaceDE w:val="0"/>
        <w:autoSpaceDN w:val="0"/>
        <w:spacing w:after="0" w:line="240" w:lineRule="auto"/>
        <w:ind w:left="720" w:right="158" w:hanging="540"/>
        <w:contextualSpacing w:val="0"/>
        <w:jc w:val="both"/>
        <w:rPr>
          <w:rFonts w:asciiTheme="minorHAnsi" w:hAnsiTheme="minorHAnsi" w:cstheme="minorHAnsi"/>
          <w:sz w:val="24"/>
          <w:szCs w:val="24"/>
        </w:rPr>
      </w:pPr>
      <w:r w:rsidRPr="00EB5296">
        <w:rPr>
          <w:rFonts w:asciiTheme="minorHAnsi" w:hAnsiTheme="minorHAnsi" w:cstheme="minorHAnsi"/>
          <w:sz w:val="24"/>
          <w:szCs w:val="24"/>
        </w:rPr>
        <w:t>All matters related to the consulting work under the AQR, including the final report and any information or documentation supplied to the service provider(s) by participating</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bank</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and/or</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BB</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are</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to</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be</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treated</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as</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confidential.</w:t>
      </w:r>
      <w:r w:rsidR="00BD02E8" w:rsidRPr="00EB5296">
        <w:rPr>
          <w:rFonts w:asciiTheme="minorHAnsi" w:hAnsiTheme="minorHAnsi" w:cstheme="minorHAnsi"/>
          <w:sz w:val="24"/>
          <w:szCs w:val="24"/>
        </w:rPr>
        <w:t xml:space="preserve"> </w:t>
      </w:r>
      <w:r w:rsidRPr="00EB5296">
        <w:rPr>
          <w:rFonts w:asciiTheme="minorHAnsi" w:hAnsiTheme="minorHAnsi" w:cstheme="minorHAnsi"/>
          <w:sz w:val="24"/>
          <w:szCs w:val="24"/>
        </w:rPr>
        <w:t>Service provider(s) shall not discuss any materials related to the AQR with participant(s), except as outlined in these employer’s requirements, or third parties. However, BB reserves the right to disclose these materials.</w:t>
      </w:r>
    </w:p>
    <w:p w:rsidR="004833A6" w:rsidRPr="00EB5296" w:rsidRDefault="004833A6">
      <w:pPr>
        <w:pStyle w:val="BodyText"/>
        <w:ind w:left="0"/>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sz w:val="24"/>
          <w:szCs w:val="24"/>
        </w:rPr>
      </w:pPr>
      <w:r w:rsidRPr="00EB5296">
        <w:rPr>
          <w:rFonts w:asciiTheme="minorHAnsi" w:hAnsiTheme="minorHAnsi" w:cstheme="minorHAnsi"/>
          <w:b/>
          <w:sz w:val="24"/>
          <w:szCs w:val="24"/>
        </w:rPr>
        <w:t>Submission</w:t>
      </w:r>
      <w:r w:rsidR="00533A7F" w:rsidRPr="00EB5296">
        <w:rPr>
          <w:rFonts w:asciiTheme="minorHAnsi" w:hAnsiTheme="minorHAnsi" w:cstheme="minorHAnsi"/>
          <w:b/>
          <w:sz w:val="24"/>
          <w:szCs w:val="24"/>
        </w:rPr>
        <w:t xml:space="preserve"> </w:t>
      </w:r>
      <w:r w:rsidRPr="00EB5296">
        <w:rPr>
          <w:rFonts w:asciiTheme="minorHAnsi" w:hAnsiTheme="minorHAnsi" w:cstheme="minorHAnsi"/>
          <w:b/>
          <w:sz w:val="24"/>
          <w:szCs w:val="24"/>
        </w:rPr>
        <w:t>of</w:t>
      </w:r>
      <w:r w:rsidR="00533A7F" w:rsidRPr="00EB5296">
        <w:rPr>
          <w:rFonts w:asciiTheme="minorHAnsi" w:hAnsiTheme="minorHAnsi" w:cstheme="minorHAnsi"/>
          <w:b/>
          <w:sz w:val="24"/>
          <w:szCs w:val="24"/>
        </w:rPr>
        <w:t xml:space="preserve"> </w:t>
      </w:r>
      <w:r w:rsidRPr="00EB5296">
        <w:rPr>
          <w:rFonts w:asciiTheme="minorHAnsi" w:hAnsiTheme="minorHAnsi" w:cstheme="minorHAnsi"/>
          <w:b/>
          <w:sz w:val="24"/>
          <w:szCs w:val="24"/>
        </w:rPr>
        <w:t>information</w:t>
      </w:r>
      <w:r w:rsidR="00533A7F" w:rsidRPr="00EB5296">
        <w:rPr>
          <w:rFonts w:asciiTheme="minorHAnsi" w:hAnsiTheme="minorHAnsi" w:cstheme="minorHAnsi"/>
          <w:b/>
          <w:sz w:val="24"/>
          <w:szCs w:val="24"/>
        </w:rPr>
        <w:t xml:space="preserve"> </w:t>
      </w:r>
      <w:r w:rsidRPr="00EB5296">
        <w:rPr>
          <w:rFonts w:asciiTheme="minorHAnsi" w:hAnsiTheme="minorHAnsi" w:cstheme="minorHAnsi"/>
          <w:b/>
          <w:sz w:val="24"/>
          <w:szCs w:val="24"/>
        </w:rPr>
        <w:t>by</w:t>
      </w:r>
      <w:r w:rsidR="00533A7F" w:rsidRPr="00EB5296">
        <w:rPr>
          <w:rFonts w:asciiTheme="minorHAnsi" w:hAnsiTheme="minorHAnsi" w:cstheme="minorHAnsi"/>
          <w:b/>
          <w:sz w:val="24"/>
          <w:szCs w:val="24"/>
        </w:rPr>
        <w:t xml:space="preserve"> </w:t>
      </w:r>
      <w:r w:rsidRPr="00EB5296">
        <w:rPr>
          <w:rFonts w:asciiTheme="minorHAnsi" w:hAnsiTheme="minorHAnsi" w:cstheme="minorHAnsi"/>
          <w:b/>
          <w:sz w:val="24"/>
          <w:szCs w:val="24"/>
        </w:rPr>
        <w:t>service provider(s):</w:t>
      </w:r>
      <w:r w:rsidRPr="00EB5296">
        <w:rPr>
          <w:rFonts w:asciiTheme="minorHAnsi" w:hAnsiTheme="minorHAnsi" w:cstheme="minorHAnsi"/>
          <w:sz w:val="24"/>
          <w:szCs w:val="24"/>
        </w:rPr>
        <w:t>Selected</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firms</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should</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submit</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 xml:space="preserve">following </w:t>
      </w:r>
      <w:r w:rsidRPr="00EB5296">
        <w:rPr>
          <w:rFonts w:asciiTheme="minorHAnsi" w:hAnsiTheme="minorHAnsi" w:cstheme="minorHAnsi"/>
          <w:spacing w:val="-2"/>
          <w:sz w:val="24"/>
          <w:szCs w:val="24"/>
        </w:rPr>
        <w:t>information:</w:t>
      </w:r>
    </w:p>
    <w:p w:rsidR="004833A6" w:rsidRPr="00EB5296" w:rsidRDefault="004833A6">
      <w:pPr>
        <w:pStyle w:val="ListParagraph"/>
        <w:widowControl/>
        <w:spacing w:after="0" w:line="240" w:lineRule="auto"/>
        <w:ind w:left="0"/>
        <w:jc w:val="both"/>
        <w:rPr>
          <w:rFonts w:asciiTheme="minorHAnsi" w:hAnsiTheme="minorHAnsi" w:cstheme="minorHAnsi"/>
          <w:sz w:val="24"/>
          <w:szCs w:val="24"/>
        </w:rPr>
      </w:pPr>
    </w:p>
    <w:p w:rsidR="004833A6" w:rsidRPr="00EB5296" w:rsidRDefault="000A3034">
      <w:pPr>
        <w:pStyle w:val="ListParagraph"/>
        <w:numPr>
          <w:ilvl w:val="0"/>
          <w:numId w:val="21"/>
        </w:numPr>
        <w:tabs>
          <w:tab w:val="left" w:pos="1080"/>
        </w:tabs>
        <w:autoSpaceDE w:val="0"/>
        <w:autoSpaceDN w:val="0"/>
        <w:spacing w:after="0" w:line="240" w:lineRule="auto"/>
        <w:ind w:left="1080" w:right="167" w:hanging="900"/>
        <w:contextualSpacing w:val="0"/>
        <w:jc w:val="both"/>
        <w:rPr>
          <w:rFonts w:asciiTheme="minorHAnsi" w:hAnsiTheme="minorHAnsi" w:cstheme="minorHAnsi"/>
          <w:sz w:val="24"/>
          <w:szCs w:val="24"/>
        </w:rPr>
      </w:pPr>
      <w:r w:rsidRPr="00EB5296">
        <w:rPr>
          <w:rFonts w:asciiTheme="minorHAnsi" w:hAnsiTheme="minorHAnsi" w:cstheme="minorHAnsi"/>
          <w:sz w:val="24"/>
          <w:szCs w:val="24"/>
        </w:rPr>
        <w:t>A statement identifying any absolute or partial conflicts of interest with individual banks.</w:t>
      </w:r>
    </w:p>
    <w:p w:rsidR="004833A6" w:rsidRPr="00EB5296" w:rsidRDefault="004833A6">
      <w:pPr>
        <w:pStyle w:val="ListParagraph"/>
        <w:tabs>
          <w:tab w:val="left" w:pos="1080"/>
        </w:tabs>
        <w:autoSpaceDE w:val="0"/>
        <w:autoSpaceDN w:val="0"/>
        <w:spacing w:after="0" w:line="240" w:lineRule="auto"/>
        <w:ind w:left="1080" w:right="167"/>
        <w:contextualSpacing w:val="0"/>
        <w:jc w:val="both"/>
        <w:rPr>
          <w:rFonts w:asciiTheme="minorHAnsi" w:hAnsiTheme="minorHAnsi" w:cstheme="minorHAnsi"/>
          <w:sz w:val="24"/>
          <w:szCs w:val="24"/>
        </w:rPr>
      </w:pPr>
    </w:p>
    <w:p w:rsidR="004833A6" w:rsidRPr="00EB5296" w:rsidRDefault="000A3034" w:rsidP="00D85BE0">
      <w:pPr>
        <w:pStyle w:val="BodyText"/>
        <w:ind w:left="885" w:firstLine="285"/>
        <w:rPr>
          <w:rFonts w:asciiTheme="minorHAnsi" w:hAnsiTheme="minorHAnsi" w:cstheme="minorHAnsi"/>
          <w:sz w:val="24"/>
          <w:szCs w:val="24"/>
        </w:rPr>
      </w:pPr>
      <w:r w:rsidRPr="00EB5296">
        <w:rPr>
          <w:rFonts w:asciiTheme="minorHAnsi" w:hAnsiTheme="minorHAnsi" w:cstheme="minorHAnsi"/>
          <w:sz w:val="24"/>
          <w:szCs w:val="24"/>
        </w:rPr>
        <w:t>Absolute</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conflicts</w:t>
      </w:r>
      <w:r w:rsidR="00D85BE0" w:rsidRPr="00EB5296">
        <w:rPr>
          <w:rFonts w:asciiTheme="minorHAnsi" w:hAnsiTheme="minorHAnsi" w:cstheme="minorHAnsi"/>
          <w:sz w:val="24"/>
          <w:szCs w:val="24"/>
        </w:rPr>
        <w:t xml:space="preserve"> </w:t>
      </w:r>
      <w:r w:rsidRPr="00EB5296">
        <w:rPr>
          <w:rFonts w:asciiTheme="minorHAnsi" w:hAnsiTheme="minorHAnsi" w:cstheme="minorHAnsi"/>
          <w:spacing w:val="-2"/>
          <w:sz w:val="24"/>
          <w:szCs w:val="24"/>
        </w:rPr>
        <w:t>include:</w:t>
      </w:r>
    </w:p>
    <w:p w:rsidR="004833A6" w:rsidRPr="00EB5296" w:rsidRDefault="004833A6" w:rsidP="00D85BE0">
      <w:pPr>
        <w:pStyle w:val="BodyText"/>
        <w:ind w:left="0"/>
        <w:rPr>
          <w:rFonts w:asciiTheme="minorHAnsi" w:hAnsiTheme="minorHAnsi" w:cstheme="minorHAnsi"/>
          <w:sz w:val="24"/>
          <w:szCs w:val="24"/>
        </w:rPr>
      </w:pPr>
    </w:p>
    <w:p w:rsidR="004833A6" w:rsidRPr="00EB5296" w:rsidRDefault="000A3034" w:rsidP="00D85BE0">
      <w:pPr>
        <w:pStyle w:val="ListParagraph"/>
        <w:numPr>
          <w:ilvl w:val="1"/>
          <w:numId w:val="21"/>
        </w:numPr>
        <w:tabs>
          <w:tab w:val="left" w:pos="2325"/>
        </w:tabs>
        <w:autoSpaceDE w:val="0"/>
        <w:autoSpaceDN w:val="0"/>
        <w:spacing w:after="0" w:line="240" w:lineRule="auto"/>
        <w:ind w:right="158"/>
        <w:contextualSpacing w:val="0"/>
        <w:jc w:val="both"/>
        <w:rPr>
          <w:rFonts w:asciiTheme="minorHAnsi" w:hAnsiTheme="minorHAnsi" w:cstheme="minorHAnsi"/>
          <w:sz w:val="24"/>
          <w:szCs w:val="24"/>
        </w:rPr>
      </w:pPr>
      <w:r w:rsidRPr="00EB5296">
        <w:rPr>
          <w:rFonts w:asciiTheme="minorHAnsi" w:hAnsiTheme="minorHAnsi" w:cstheme="minorHAnsi"/>
          <w:sz w:val="24"/>
          <w:szCs w:val="24"/>
        </w:rPr>
        <w:t>Having</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provided</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bank</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with</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auditing</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services</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in</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either</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past</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five years and/or is engaged to do so in 2025;</w:t>
      </w:r>
    </w:p>
    <w:p w:rsidR="004833A6" w:rsidRPr="00EB5296" w:rsidRDefault="004833A6" w:rsidP="00D85BE0">
      <w:pPr>
        <w:pStyle w:val="ListParagraph"/>
        <w:tabs>
          <w:tab w:val="left" w:pos="2325"/>
        </w:tabs>
        <w:autoSpaceDE w:val="0"/>
        <w:autoSpaceDN w:val="0"/>
        <w:spacing w:after="0" w:line="240" w:lineRule="auto"/>
        <w:ind w:left="2325" w:right="158"/>
        <w:contextualSpacing w:val="0"/>
        <w:jc w:val="both"/>
        <w:rPr>
          <w:rFonts w:asciiTheme="minorHAnsi" w:hAnsiTheme="minorHAnsi" w:cstheme="minorHAnsi"/>
          <w:sz w:val="24"/>
          <w:szCs w:val="24"/>
        </w:rPr>
      </w:pPr>
    </w:p>
    <w:p w:rsidR="004833A6" w:rsidRPr="00EB5296" w:rsidRDefault="000A3034" w:rsidP="00D85BE0">
      <w:pPr>
        <w:pStyle w:val="ListParagraph"/>
        <w:numPr>
          <w:ilvl w:val="1"/>
          <w:numId w:val="21"/>
        </w:numPr>
        <w:tabs>
          <w:tab w:val="left" w:pos="2325"/>
        </w:tabs>
        <w:autoSpaceDE w:val="0"/>
        <w:autoSpaceDN w:val="0"/>
        <w:spacing w:after="0" w:line="240" w:lineRule="auto"/>
        <w:ind w:right="159"/>
        <w:contextualSpacing w:val="0"/>
        <w:jc w:val="both"/>
        <w:rPr>
          <w:rFonts w:asciiTheme="minorHAnsi" w:hAnsiTheme="minorHAnsi" w:cstheme="minorHAnsi"/>
          <w:sz w:val="24"/>
          <w:szCs w:val="24"/>
        </w:rPr>
      </w:pPr>
      <w:r w:rsidRPr="00EB5296">
        <w:rPr>
          <w:rFonts w:asciiTheme="minorHAnsi" w:hAnsiTheme="minorHAnsi" w:cstheme="minorHAnsi"/>
          <w:sz w:val="24"/>
          <w:szCs w:val="24"/>
        </w:rPr>
        <w:t>An</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economic</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interest</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that</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depends</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on</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value</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bank</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or</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any</w:t>
      </w:r>
      <w:r w:rsidR="00D85BE0" w:rsidRPr="00EB5296">
        <w:rPr>
          <w:rFonts w:asciiTheme="minorHAnsi" w:hAnsiTheme="minorHAnsi" w:cstheme="minorHAnsi"/>
          <w:sz w:val="24"/>
          <w:szCs w:val="24"/>
        </w:rPr>
        <w:t xml:space="preserve"> </w:t>
      </w:r>
      <w:r w:rsidRPr="00EB5296">
        <w:rPr>
          <w:rFonts w:asciiTheme="minorHAnsi" w:hAnsiTheme="minorHAnsi" w:cstheme="minorHAnsi"/>
          <w:sz w:val="24"/>
          <w:szCs w:val="24"/>
        </w:rPr>
        <w:t>real estate assets used as lending collateral;</w:t>
      </w:r>
    </w:p>
    <w:p w:rsidR="004833A6" w:rsidRPr="00EB5296" w:rsidRDefault="004833A6" w:rsidP="00D85BE0">
      <w:pPr>
        <w:pStyle w:val="ListParagraph"/>
        <w:tabs>
          <w:tab w:val="left" w:pos="2325"/>
        </w:tabs>
        <w:autoSpaceDE w:val="0"/>
        <w:autoSpaceDN w:val="0"/>
        <w:spacing w:after="0" w:line="240" w:lineRule="auto"/>
        <w:ind w:left="2325" w:right="159"/>
        <w:contextualSpacing w:val="0"/>
        <w:jc w:val="both"/>
        <w:rPr>
          <w:rFonts w:asciiTheme="minorHAnsi" w:hAnsiTheme="minorHAnsi" w:cstheme="minorHAnsi"/>
          <w:sz w:val="24"/>
          <w:szCs w:val="24"/>
        </w:rPr>
      </w:pPr>
    </w:p>
    <w:p w:rsidR="004833A6" w:rsidRPr="00EB5296" w:rsidRDefault="000A3034" w:rsidP="00D85BE0">
      <w:pPr>
        <w:pStyle w:val="ListParagraph"/>
        <w:numPr>
          <w:ilvl w:val="1"/>
          <w:numId w:val="21"/>
        </w:numPr>
        <w:tabs>
          <w:tab w:val="left" w:pos="2325"/>
        </w:tabs>
        <w:autoSpaceDE w:val="0"/>
        <w:autoSpaceDN w:val="0"/>
        <w:spacing w:after="0" w:line="240" w:lineRule="auto"/>
        <w:ind w:right="161"/>
        <w:contextualSpacing w:val="0"/>
        <w:jc w:val="both"/>
        <w:rPr>
          <w:rFonts w:asciiTheme="minorHAnsi" w:hAnsiTheme="minorHAnsi" w:cstheme="minorHAnsi"/>
          <w:sz w:val="24"/>
          <w:szCs w:val="24"/>
        </w:rPr>
      </w:pPr>
      <w:r w:rsidRPr="00EB5296">
        <w:rPr>
          <w:rFonts w:asciiTheme="minorHAnsi" w:hAnsiTheme="minorHAnsi" w:cstheme="minorHAnsi"/>
          <w:sz w:val="24"/>
          <w:szCs w:val="24"/>
        </w:rPr>
        <w:t>Incompatibility</w:t>
      </w:r>
      <w:r w:rsidR="00E3790D" w:rsidRPr="00EB5296">
        <w:rPr>
          <w:rFonts w:asciiTheme="minorHAnsi" w:hAnsiTheme="minorHAnsi" w:cstheme="minorHAnsi"/>
          <w:sz w:val="24"/>
          <w:szCs w:val="24"/>
        </w:rPr>
        <w:t xml:space="preserve"> </w:t>
      </w:r>
      <w:r w:rsidRPr="00EB5296">
        <w:rPr>
          <w:rFonts w:asciiTheme="minorHAnsi" w:hAnsiTheme="minorHAnsi" w:cstheme="minorHAnsi"/>
          <w:sz w:val="24"/>
          <w:szCs w:val="24"/>
        </w:rPr>
        <w:t>or</w:t>
      </w:r>
      <w:r w:rsidR="00E3790D" w:rsidRPr="00EB5296">
        <w:rPr>
          <w:rFonts w:asciiTheme="minorHAnsi" w:hAnsiTheme="minorHAnsi" w:cstheme="minorHAnsi"/>
          <w:sz w:val="24"/>
          <w:szCs w:val="24"/>
        </w:rPr>
        <w:t xml:space="preserve"> </w:t>
      </w:r>
      <w:r w:rsidRPr="00EB5296">
        <w:rPr>
          <w:rFonts w:asciiTheme="minorHAnsi" w:hAnsiTheme="minorHAnsi" w:cstheme="minorHAnsi"/>
          <w:sz w:val="24"/>
          <w:szCs w:val="24"/>
        </w:rPr>
        <w:t>disqualification</w:t>
      </w:r>
      <w:r w:rsidR="00E3790D" w:rsidRPr="00EB5296">
        <w:rPr>
          <w:rFonts w:asciiTheme="minorHAnsi" w:hAnsiTheme="minorHAnsi" w:cstheme="minorHAnsi"/>
          <w:sz w:val="24"/>
          <w:szCs w:val="24"/>
        </w:rPr>
        <w:t xml:space="preserve"> </w:t>
      </w:r>
      <w:r w:rsidRPr="00EB5296">
        <w:rPr>
          <w:rFonts w:asciiTheme="minorHAnsi" w:hAnsiTheme="minorHAnsi" w:cstheme="minorHAnsi"/>
          <w:sz w:val="24"/>
          <w:szCs w:val="24"/>
        </w:rPr>
        <w:t>according</w:t>
      </w:r>
      <w:r w:rsidR="00E3790D" w:rsidRPr="00EB5296">
        <w:rPr>
          <w:rFonts w:asciiTheme="minorHAnsi" w:hAnsiTheme="minorHAnsi" w:cstheme="minorHAnsi"/>
          <w:sz w:val="24"/>
          <w:szCs w:val="24"/>
        </w:rPr>
        <w:t xml:space="preserve"> </w:t>
      </w:r>
      <w:r w:rsidRPr="00EB5296">
        <w:rPr>
          <w:rFonts w:asciiTheme="minorHAnsi" w:hAnsiTheme="minorHAnsi" w:cstheme="minorHAnsi"/>
          <w:sz w:val="24"/>
          <w:szCs w:val="24"/>
        </w:rPr>
        <w:t>to</w:t>
      </w:r>
      <w:r w:rsidR="00E3790D" w:rsidRPr="00EB5296">
        <w:rPr>
          <w:rFonts w:asciiTheme="minorHAnsi" w:hAnsiTheme="minorHAnsi" w:cstheme="minorHAnsi"/>
          <w:sz w:val="24"/>
          <w:szCs w:val="24"/>
        </w:rPr>
        <w:t xml:space="preserve"> </w:t>
      </w:r>
      <w:r w:rsidRPr="00EB5296">
        <w:rPr>
          <w:rFonts w:asciiTheme="minorHAnsi" w:hAnsiTheme="minorHAnsi" w:cstheme="minorHAnsi"/>
          <w:sz w:val="24"/>
          <w:szCs w:val="24"/>
        </w:rPr>
        <w:t>professional</w:t>
      </w:r>
      <w:r w:rsidR="00E3790D" w:rsidRPr="00EB5296">
        <w:rPr>
          <w:rFonts w:asciiTheme="minorHAnsi" w:hAnsiTheme="minorHAnsi" w:cstheme="minorHAnsi"/>
          <w:sz w:val="24"/>
          <w:szCs w:val="24"/>
        </w:rPr>
        <w:t xml:space="preserve"> </w:t>
      </w:r>
      <w:r w:rsidRPr="00EB5296">
        <w:rPr>
          <w:rFonts w:asciiTheme="minorHAnsi" w:hAnsiTheme="minorHAnsi" w:cstheme="minorHAnsi"/>
          <w:sz w:val="24"/>
          <w:szCs w:val="24"/>
        </w:rPr>
        <w:t>codes</w:t>
      </w:r>
      <w:r w:rsidR="00E3790D" w:rsidRPr="00EB5296">
        <w:rPr>
          <w:rFonts w:asciiTheme="minorHAnsi" w:hAnsiTheme="minorHAnsi" w:cstheme="minorHAnsi"/>
          <w:sz w:val="24"/>
          <w:szCs w:val="24"/>
        </w:rPr>
        <w:t xml:space="preserve"> of ethics</w:t>
      </w:r>
      <w:r w:rsidRPr="00EB5296">
        <w:rPr>
          <w:rFonts w:asciiTheme="minorHAnsi" w:hAnsiTheme="minorHAnsi" w:cstheme="minorHAnsi"/>
          <w:sz w:val="24"/>
          <w:szCs w:val="24"/>
        </w:rPr>
        <w:t xml:space="preserve"> and</w:t>
      </w:r>
    </w:p>
    <w:p w:rsidR="004833A6" w:rsidRPr="00EB5296" w:rsidRDefault="004833A6" w:rsidP="00D85BE0">
      <w:pPr>
        <w:pStyle w:val="ListParagraph"/>
        <w:tabs>
          <w:tab w:val="left" w:pos="2325"/>
        </w:tabs>
        <w:autoSpaceDE w:val="0"/>
        <w:autoSpaceDN w:val="0"/>
        <w:spacing w:after="0" w:line="240" w:lineRule="auto"/>
        <w:ind w:left="2325" w:right="161"/>
        <w:contextualSpacing w:val="0"/>
        <w:jc w:val="both"/>
        <w:rPr>
          <w:rFonts w:asciiTheme="minorHAnsi" w:hAnsiTheme="minorHAnsi" w:cstheme="minorHAnsi"/>
          <w:sz w:val="24"/>
          <w:szCs w:val="24"/>
        </w:rPr>
      </w:pPr>
    </w:p>
    <w:p w:rsidR="004833A6" w:rsidRPr="00EB5296" w:rsidRDefault="000A3034" w:rsidP="00D85BE0">
      <w:pPr>
        <w:pStyle w:val="ListParagraph"/>
        <w:numPr>
          <w:ilvl w:val="1"/>
          <w:numId w:val="21"/>
        </w:numPr>
        <w:tabs>
          <w:tab w:val="left" w:pos="2325"/>
        </w:tabs>
        <w:autoSpaceDE w:val="0"/>
        <w:autoSpaceDN w:val="0"/>
        <w:spacing w:after="0" w:line="240" w:lineRule="auto"/>
        <w:ind w:right="161"/>
        <w:contextualSpacing w:val="0"/>
        <w:jc w:val="both"/>
        <w:rPr>
          <w:rFonts w:asciiTheme="minorHAnsi" w:hAnsiTheme="minorHAnsi" w:cstheme="minorHAnsi"/>
          <w:sz w:val="24"/>
          <w:szCs w:val="24"/>
        </w:rPr>
      </w:pPr>
      <w:r w:rsidRPr="00EB5296">
        <w:rPr>
          <w:rFonts w:asciiTheme="minorHAnsi" w:hAnsiTheme="minorHAnsi" w:cstheme="minorHAnsi"/>
          <w:sz w:val="24"/>
          <w:szCs w:val="24"/>
        </w:rPr>
        <w:t>The</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firm’s</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internal</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codes</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ethics</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identify</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an</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absolute</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conflict</w:t>
      </w:r>
      <w:r w:rsidR="00846E07" w:rsidRPr="00EB5296">
        <w:rPr>
          <w:rFonts w:asciiTheme="minorHAnsi" w:hAnsiTheme="minorHAnsi" w:cstheme="minorHAnsi"/>
          <w:sz w:val="24"/>
          <w:szCs w:val="24"/>
        </w:rPr>
        <w:t xml:space="preserve"> </w:t>
      </w:r>
      <w:r w:rsidRPr="00EB5296">
        <w:rPr>
          <w:rFonts w:asciiTheme="minorHAnsi" w:hAnsiTheme="minorHAnsi" w:cstheme="minorHAnsi"/>
          <w:sz w:val="24"/>
          <w:szCs w:val="24"/>
        </w:rPr>
        <w:t xml:space="preserve">of </w:t>
      </w:r>
      <w:r w:rsidRPr="00EB5296">
        <w:rPr>
          <w:rFonts w:asciiTheme="minorHAnsi" w:hAnsiTheme="minorHAnsi" w:cstheme="minorHAnsi"/>
          <w:spacing w:val="-2"/>
          <w:sz w:val="24"/>
          <w:szCs w:val="24"/>
        </w:rPr>
        <w:t>interest.</w:t>
      </w:r>
    </w:p>
    <w:p w:rsidR="004833A6" w:rsidRPr="00EB5296" w:rsidRDefault="004833A6">
      <w:pPr>
        <w:pStyle w:val="ListParagraph"/>
        <w:tabs>
          <w:tab w:val="left" w:pos="2325"/>
        </w:tabs>
        <w:autoSpaceDE w:val="0"/>
        <w:autoSpaceDN w:val="0"/>
        <w:spacing w:after="0" w:line="240" w:lineRule="auto"/>
        <w:ind w:left="2325" w:right="161"/>
        <w:contextualSpacing w:val="0"/>
        <w:jc w:val="both"/>
        <w:rPr>
          <w:rFonts w:asciiTheme="minorHAnsi" w:hAnsiTheme="minorHAnsi" w:cstheme="minorHAnsi"/>
          <w:sz w:val="24"/>
          <w:szCs w:val="24"/>
        </w:rPr>
      </w:pPr>
    </w:p>
    <w:p w:rsidR="004833A6" w:rsidRPr="00EB5296" w:rsidRDefault="000A3034">
      <w:pPr>
        <w:pStyle w:val="ListParagraph"/>
        <w:numPr>
          <w:ilvl w:val="0"/>
          <w:numId w:val="21"/>
        </w:numPr>
        <w:autoSpaceDE w:val="0"/>
        <w:autoSpaceDN w:val="0"/>
        <w:spacing w:after="0" w:line="240" w:lineRule="auto"/>
        <w:ind w:left="1080" w:hanging="900"/>
        <w:contextualSpacing w:val="0"/>
        <w:jc w:val="both"/>
        <w:rPr>
          <w:rFonts w:asciiTheme="minorHAnsi" w:hAnsiTheme="minorHAnsi" w:cstheme="minorHAnsi"/>
          <w:sz w:val="24"/>
          <w:szCs w:val="24"/>
        </w:rPr>
      </w:pPr>
      <w:r w:rsidRPr="00EB5296">
        <w:rPr>
          <w:rFonts w:asciiTheme="minorHAnsi" w:hAnsiTheme="minorHAnsi" w:cstheme="minorHAnsi"/>
          <w:sz w:val="24"/>
          <w:szCs w:val="24"/>
        </w:rPr>
        <w:t>Partial</w:t>
      </w:r>
      <w:r w:rsidR="005B64E5" w:rsidRPr="00EB5296">
        <w:rPr>
          <w:rFonts w:asciiTheme="minorHAnsi" w:hAnsiTheme="minorHAnsi" w:cstheme="minorHAnsi"/>
          <w:sz w:val="24"/>
          <w:szCs w:val="24"/>
        </w:rPr>
        <w:t xml:space="preserve"> </w:t>
      </w:r>
      <w:r w:rsidRPr="00EB5296">
        <w:rPr>
          <w:rFonts w:asciiTheme="minorHAnsi" w:hAnsiTheme="minorHAnsi" w:cstheme="minorHAnsi"/>
          <w:sz w:val="24"/>
          <w:szCs w:val="24"/>
        </w:rPr>
        <w:t>conflicts</w:t>
      </w:r>
      <w:r w:rsidR="005B64E5" w:rsidRPr="00EB5296">
        <w:rPr>
          <w:rFonts w:asciiTheme="minorHAnsi" w:hAnsiTheme="minorHAnsi" w:cstheme="minorHAnsi"/>
          <w:sz w:val="24"/>
          <w:szCs w:val="24"/>
        </w:rPr>
        <w:t xml:space="preserve"> </w:t>
      </w:r>
      <w:r w:rsidRPr="00EB5296">
        <w:rPr>
          <w:rFonts w:asciiTheme="minorHAnsi" w:hAnsiTheme="minorHAnsi" w:cstheme="minorHAnsi"/>
          <w:spacing w:val="-2"/>
          <w:sz w:val="24"/>
          <w:szCs w:val="24"/>
        </w:rPr>
        <w:t>include:</w:t>
      </w:r>
    </w:p>
    <w:p w:rsidR="004833A6" w:rsidRPr="00EB5296" w:rsidRDefault="004833A6">
      <w:pPr>
        <w:pStyle w:val="BodyText"/>
        <w:ind w:left="0"/>
        <w:rPr>
          <w:rFonts w:asciiTheme="minorHAnsi" w:hAnsiTheme="minorHAnsi" w:cstheme="minorHAnsi"/>
          <w:sz w:val="24"/>
          <w:szCs w:val="24"/>
        </w:rPr>
      </w:pPr>
    </w:p>
    <w:p w:rsidR="004833A6" w:rsidRPr="00EB5296" w:rsidRDefault="000A3034">
      <w:pPr>
        <w:pStyle w:val="ListParagraph"/>
        <w:numPr>
          <w:ilvl w:val="1"/>
          <w:numId w:val="21"/>
        </w:numPr>
        <w:tabs>
          <w:tab w:val="left" w:pos="2323"/>
          <w:tab w:val="left" w:pos="2325"/>
        </w:tabs>
        <w:autoSpaceDE w:val="0"/>
        <w:autoSpaceDN w:val="0"/>
        <w:spacing w:after="0" w:line="240" w:lineRule="auto"/>
        <w:ind w:left="2318" w:right="166"/>
        <w:contextualSpacing w:val="0"/>
        <w:jc w:val="both"/>
        <w:rPr>
          <w:rFonts w:asciiTheme="minorHAnsi" w:hAnsiTheme="minorHAnsi" w:cstheme="minorHAnsi"/>
          <w:sz w:val="24"/>
          <w:szCs w:val="24"/>
        </w:rPr>
      </w:pPr>
      <w:r w:rsidRPr="00EB5296">
        <w:rPr>
          <w:rFonts w:asciiTheme="minorHAnsi" w:hAnsiTheme="minorHAnsi" w:cstheme="minorHAnsi"/>
          <w:sz w:val="24"/>
          <w:szCs w:val="24"/>
        </w:rPr>
        <w:t>The firm’s subsidiaries or affiliates are held in any of the absolute conflicts of interest described above;</w:t>
      </w:r>
    </w:p>
    <w:p w:rsidR="004833A6" w:rsidRPr="00EB5296" w:rsidRDefault="004833A6">
      <w:pPr>
        <w:pStyle w:val="ListParagraph"/>
        <w:tabs>
          <w:tab w:val="left" w:pos="2323"/>
          <w:tab w:val="left" w:pos="2325"/>
        </w:tabs>
        <w:autoSpaceDE w:val="0"/>
        <w:autoSpaceDN w:val="0"/>
        <w:spacing w:after="0" w:line="240" w:lineRule="auto"/>
        <w:ind w:left="2318" w:right="166"/>
        <w:contextualSpacing w:val="0"/>
        <w:jc w:val="both"/>
        <w:rPr>
          <w:rFonts w:asciiTheme="minorHAnsi" w:hAnsiTheme="minorHAnsi" w:cstheme="minorHAnsi"/>
          <w:sz w:val="24"/>
          <w:szCs w:val="24"/>
        </w:rPr>
      </w:pPr>
    </w:p>
    <w:p w:rsidR="004833A6" w:rsidRPr="00EB5296" w:rsidRDefault="005B64E5">
      <w:pPr>
        <w:pStyle w:val="ListParagraph"/>
        <w:numPr>
          <w:ilvl w:val="1"/>
          <w:numId w:val="21"/>
        </w:numPr>
        <w:tabs>
          <w:tab w:val="left" w:pos="2323"/>
          <w:tab w:val="left" w:pos="2325"/>
        </w:tabs>
        <w:autoSpaceDE w:val="0"/>
        <w:autoSpaceDN w:val="0"/>
        <w:spacing w:after="0" w:line="240" w:lineRule="auto"/>
        <w:ind w:left="2318" w:right="158"/>
        <w:contextualSpacing w:val="0"/>
        <w:jc w:val="both"/>
        <w:rPr>
          <w:rFonts w:asciiTheme="minorHAnsi" w:hAnsiTheme="minorHAnsi" w:cstheme="minorHAnsi"/>
          <w:sz w:val="24"/>
          <w:szCs w:val="24"/>
        </w:rPr>
      </w:pPr>
      <w:r w:rsidRPr="00EB5296">
        <w:rPr>
          <w:rFonts w:asciiTheme="minorHAnsi" w:hAnsiTheme="minorHAnsi" w:cstheme="minorHAnsi"/>
          <w:sz w:val="24"/>
          <w:szCs w:val="24"/>
        </w:rPr>
        <w:t xml:space="preserve">The firm, its subsidiaries and/or affiliates have had, during the past five </w:t>
      </w:r>
      <w:r w:rsidR="000A3034" w:rsidRPr="00EB5296">
        <w:rPr>
          <w:rFonts w:asciiTheme="minorHAnsi" w:hAnsiTheme="minorHAnsi" w:cstheme="minorHAnsi"/>
          <w:sz w:val="24"/>
          <w:szCs w:val="24"/>
        </w:rPr>
        <w:t>years, or have ongoing business relationships with the bank;</w:t>
      </w:r>
    </w:p>
    <w:p w:rsidR="004833A6" w:rsidRPr="00EB5296" w:rsidRDefault="004833A6">
      <w:pPr>
        <w:pStyle w:val="ListParagraph"/>
        <w:tabs>
          <w:tab w:val="left" w:pos="2323"/>
          <w:tab w:val="left" w:pos="2325"/>
        </w:tabs>
        <w:autoSpaceDE w:val="0"/>
        <w:autoSpaceDN w:val="0"/>
        <w:spacing w:after="0" w:line="240" w:lineRule="auto"/>
        <w:ind w:left="2318" w:right="158"/>
        <w:contextualSpacing w:val="0"/>
        <w:jc w:val="both"/>
        <w:rPr>
          <w:rFonts w:asciiTheme="minorHAnsi" w:hAnsiTheme="minorHAnsi" w:cstheme="minorHAnsi"/>
          <w:sz w:val="24"/>
          <w:szCs w:val="24"/>
        </w:rPr>
      </w:pPr>
    </w:p>
    <w:p w:rsidR="004833A6" w:rsidRPr="00EB5296" w:rsidRDefault="009A02F1">
      <w:pPr>
        <w:pStyle w:val="ListParagraph"/>
        <w:numPr>
          <w:ilvl w:val="1"/>
          <w:numId w:val="21"/>
        </w:numPr>
        <w:tabs>
          <w:tab w:val="left" w:pos="2323"/>
          <w:tab w:val="left" w:pos="2325"/>
        </w:tabs>
        <w:autoSpaceDE w:val="0"/>
        <w:autoSpaceDN w:val="0"/>
        <w:spacing w:after="0" w:line="240" w:lineRule="auto"/>
        <w:ind w:left="2318" w:right="160"/>
        <w:contextualSpacing w:val="0"/>
        <w:jc w:val="both"/>
        <w:rPr>
          <w:rFonts w:asciiTheme="minorHAnsi" w:hAnsiTheme="minorHAnsi" w:cstheme="minorHAnsi"/>
          <w:sz w:val="24"/>
          <w:szCs w:val="24"/>
        </w:rPr>
      </w:pPr>
      <w:r w:rsidRPr="00EB5296">
        <w:rPr>
          <w:rFonts w:asciiTheme="minorHAnsi" w:hAnsiTheme="minorHAnsi" w:cstheme="minorHAnsi"/>
          <w:sz w:val="24"/>
          <w:szCs w:val="24"/>
        </w:rPr>
        <w:t>The firm, its subsidiaries or affiliates are involved in any cause of partial</w:t>
      </w:r>
      <w:r w:rsidR="000A3034" w:rsidRPr="00EB5296">
        <w:rPr>
          <w:rFonts w:asciiTheme="minorHAnsi" w:hAnsiTheme="minorHAnsi" w:cstheme="minorHAnsi"/>
          <w:sz w:val="24"/>
          <w:szCs w:val="24"/>
        </w:rPr>
        <w:t xml:space="preserve"> incompatibility or disqualification according to professional codes of </w:t>
      </w:r>
      <w:r w:rsidR="000A3034" w:rsidRPr="00EB5296">
        <w:rPr>
          <w:rFonts w:asciiTheme="minorHAnsi" w:hAnsiTheme="minorHAnsi" w:cstheme="minorHAnsi"/>
          <w:spacing w:val="-2"/>
          <w:sz w:val="24"/>
          <w:szCs w:val="24"/>
        </w:rPr>
        <w:t>ethics;</w:t>
      </w:r>
    </w:p>
    <w:p w:rsidR="004833A6" w:rsidRPr="00EB5296" w:rsidRDefault="004833A6">
      <w:pPr>
        <w:pStyle w:val="ListParagraph"/>
        <w:tabs>
          <w:tab w:val="left" w:pos="2323"/>
          <w:tab w:val="left" w:pos="2325"/>
        </w:tabs>
        <w:autoSpaceDE w:val="0"/>
        <w:autoSpaceDN w:val="0"/>
        <w:spacing w:after="0" w:line="240" w:lineRule="auto"/>
        <w:ind w:left="2318" w:right="160"/>
        <w:contextualSpacing w:val="0"/>
        <w:jc w:val="both"/>
        <w:rPr>
          <w:rFonts w:asciiTheme="minorHAnsi" w:hAnsiTheme="minorHAnsi" w:cstheme="minorHAnsi"/>
          <w:sz w:val="24"/>
          <w:szCs w:val="24"/>
        </w:rPr>
      </w:pPr>
    </w:p>
    <w:p w:rsidR="004833A6" w:rsidRPr="00EB5296" w:rsidRDefault="000A3034">
      <w:pPr>
        <w:pStyle w:val="ListParagraph"/>
        <w:numPr>
          <w:ilvl w:val="1"/>
          <w:numId w:val="21"/>
        </w:numPr>
        <w:tabs>
          <w:tab w:val="left" w:pos="2323"/>
          <w:tab w:val="left" w:pos="2325"/>
        </w:tabs>
        <w:autoSpaceDE w:val="0"/>
        <w:autoSpaceDN w:val="0"/>
        <w:spacing w:after="0" w:line="240" w:lineRule="auto"/>
        <w:ind w:left="2318" w:right="165"/>
        <w:contextualSpacing w:val="0"/>
        <w:jc w:val="both"/>
        <w:rPr>
          <w:rFonts w:asciiTheme="minorHAnsi" w:hAnsiTheme="minorHAnsi" w:cstheme="minorHAnsi"/>
          <w:sz w:val="24"/>
          <w:szCs w:val="24"/>
        </w:rPr>
      </w:pPr>
      <w:r w:rsidRPr="00EB5296">
        <w:rPr>
          <w:rFonts w:asciiTheme="minorHAnsi" w:hAnsiTheme="minorHAnsi" w:cstheme="minorHAnsi"/>
          <w:sz w:val="24"/>
          <w:szCs w:val="24"/>
        </w:rPr>
        <w:t>The firm considers that a cause of partial conflict of interest applies, following its internal codes of ethics;</w:t>
      </w:r>
    </w:p>
    <w:p w:rsidR="004833A6" w:rsidRPr="00EB5296" w:rsidRDefault="004833A6">
      <w:pPr>
        <w:pStyle w:val="ListParagraph"/>
        <w:tabs>
          <w:tab w:val="left" w:pos="2323"/>
          <w:tab w:val="left" w:pos="2325"/>
        </w:tabs>
        <w:autoSpaceDE w:val="0"/>
        <w:autoSpaceDN w:val="0"/>
        <w:spacing w:after="0" w:line="240" w:lineRule="auto"/>
        <w:ind w:left="2318" w:right="165"/>
        <w:contextualSpacing w:val="0"/>
        <w:jc w:val="both"/>
        <w:rPr>
          <w:rFonts w:asciiTheme="minorHAnsi" w:hAnsiTheme="minorHAnsi" w:cstheme="minorHAnsi"/>
          <w:sz w:val="24"/>
          <w:szCs w:val="24"/>
        </w:rPr>
      </w:pPr>
    </w:p>
    <w:p w:rsidR="004833A6" w:rsidRPr="00EB5296" w:rsidRDefault="00D412E9">
      <w:pPr>
        <w:pStyle w:val="ListParagraph"/>
        <w:numPr>
          <w:ilvl w:val="1"/>
          <w:numId w:val="21"/>
        </w:numPr>
        <w:tabs>
          <w:tab w:val="left" w:pos="2323"/>
          <w:tab w:val="left" w:pos="2325"/>
        </w:tabs>
        <w:autoSpaceDE w:val="0"/>
        <w:autoSpaceDN w:val="0"/>
        <w:spacing w:after="0" w:line="240" w:lineRule="auto"/>
        <w:ind w:left="2318" w:right="160"/>
        <w:contextualSpacing w:val="0"/>
        <w:jc w:val="both"/>
        <w:rPr>
          <w:rFonts w:asciiTheme="minorHAnsi" w:hAnsiTheme="minorHAnsi" w:cstheme="minorHAnsi"/>
          <w:sz w:val="24"/>
          <w:szCs w:val="24"/>
        </w:rPr>
      </w:pPr>
      <w:r w:rsidRPr="00EB5296">
        <w:rPr>
          <w:rFonts w:asciiTheme="minorHAnsi" w:hAnsiTheme="minorHAnsi" w:cstheme="minorHAnsi"/>
          <w:sz w:val="24"/>
          <w:szCs w:val="24"/>
        </w:rPr>
        <w:t xml:space="preserve">An individual member of the team proposed for this engagement is held </w:t>
      </w:r>
      <w:r w:rsidR="000A3034" w:rsidRPr="00EB5296">
        <w:rPr>
          <w:rFonts w:asciiTheme="minorHAnsi" w:hAnsiTheme="minorHAnsi" w:cstheme="minorHAnsi"/>
          <w:sz w:val="24"/>
          <w:szCs w:val="24"/>
        </w:rPr>
        <w:t xml:space="preserve">in any of the causes of conflict of interest, either absolute or partial, acting as an individual professional or under the ongoing </w:t>
      </w:r>
      <w:r w:rsidR="000A3034" w:rsidRPr="00EB5296">
        <w:rPr>
          <w:rFonts w:asciiTheme="minorHAnsi" w:hAnsiTheme="minorHAnsi" w:cstheme="minorHAnsi"/>
          <w:sz w:val="24"/>
          <w:szCs w:val="24"/>
        </w:rPr>
        <w:lastRenderedPageBreak/>
        <w:t>professional relationship with the applicant or past professional relationships with other service providers.</w:t>
      </w:r>
    </w:p>
    <w:p w:rsidR="004833A6" w:rsidRPr="00EB5296" w:rsidRDefault="000A3034">
      <w:pPr>
        <w:pStyle w:val="ListParagraph"/>
        <w:numPr>
          <w:ilvl w:val="0"/>
          <w:numId w:val="21"/>
        </w:numPr>
        <w:autoSpaceDE w:val="0"/>
        <w:autoSpaceDN w:val="0"/>
        <w:spacing w:after="0" w:line="240" w:lineRule="auto"/>
        <w:ind w:left="1080" w:hanging="900"/>
        <w:contextualSpacing w:val="0"/>
        <w:jc w:val="both"/>
        <w:rPr>
          <w:rFonts w:asciiTheme="minorHAnsi" w:hAnsiTheme="minorHAnsi" w:cstheme="minorHAnsi"/>
          <w:sz w:val="24"/>
          <w:szCs w:val="24"/>
        </w:rPr>
      </w:pPr>
      <w:r w:rsidRPr="00EB5296">
        <w:rPr>
          <w:rFonts w:asciiTheme="minorHAnsi" w:hAnsiTheme="minorHAnsi" w:cstheme="minorHAnsi"/>
          <w:sz w:val="24"/>
          <w:szCs w:val="24"/>
        </w:rPr>
        <w:t>If</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any</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conflicts</w:t>
      </w:r>
      <w:r w:rsidR="00533A7F" w:rsidRPr="00EB5296">
        <w:rPr>
          <w:rFonts w:asciiTheme="minorHAnsi" w:hAnsiTheme="minorHAnsi" w:cstheme="minorHAnsi"/>
          <w:sz w:val="24"/>
          <w:szCs w:val="24"/>
        </w:rPr>
        <w:t xml:space="preserve"> </w:t>
      </w:r>
      <w:r w:rsidRPr="00EB5296">
        <w:rPr>
          <w:rFonts w:asciiTheme="minorHAnsi" w:hAnsiTheme="minorHAnsi" w:cstheme="minorHAnsi"/>
          <w:sz w:val="24"/>
          <w:szCs w:val="24"/>
        </w:rPr>
        <w:t>are</w:t>
      </w:r>
      <w:r w:rsidR="00533A7F" w:rsidRPr="00EB5296">
        <w:rPr>
          <w:rFonts w:asciiTheme="minorHAnsi" w:hAnsiTheme="minorHAnsi" w:cstheme="minorHAnsi"/>
          <w:sz w:val="24"/>
          <w:szCs w:val="24"/>
        </w:rPr>
        <w:t xml:space="preserve"> </w:t>
      </w:r>
      <w:r w:rsidRPr="00EB5296">
        <w:rPr>
          <w:rFonts w:asciiTheme="minorHAnsi" w:hAnsiTheme="minorHAnsi" w:cstheme="minorHAnsi"/>
          <w:spacing w:val="-2"/>
          <w:sz w:val="24"/>
          <w:szCs w:val="24"/>
        </w:rPr>
        <w:t>identified:</w:t>
      </w:r>
    </w:p>
    <w:p w:rsidR="004833A6" w:rsidRPr="00EB5296" w:rsidRDefault="004833A6">
      <w:pPr>
        <w:pStyle w:val="BodyText"/>
        <w:ind w:left="0"/>
        <w:rPr>
          <w:rFonts w:asciiTheme="minorHAnsi" w:hAnsiTheme="minorHAnsi" w:cstheme="minorHAnsi"/>
          <w:sz w:val="24"/>
          <w:szCs w:val="24"/>
        </w:rPr>
      </w:pPr>
    </w:p>
    <w:p w:rsidR="004833A6" w:rsidRPr="00EB5296" w:rsidRDefault="000A3034">
      <w:pPr>
        <w:pStyle w:val="ListParagraph"/>
        <w:numPr>
          <w:ilvl w:val="1"/>
          <w:numId w:val="21"/>
        </w:numPr>
        <w:tabs>
          <w:tab w:val="left" w:pos="2323"/>
          <w:tab w:val="left" w:pos="2325"/>
        </w:tabs>
        <w:autoSpaceDE w:val="0"/>
        <w:autoSpaceDN w:val="0"/>
        <w:spacing w:after="0" w:line="240" w:lineRule="auto"/>
        <w:ind w:right="162"/>
        <w:contextualSpacing w:val="0"/>
        <w:jc w:val="both"/>
        <w:rPr>
          <w:rFonts w:asciiTheme="minorHAnsi" w:hAnsiTheme="minorHAnsi" w:cstheme="minorHAnsi"/>
          <w:sz w:val="24"/>
          <w:szCs w:val="24"/>
        </w:rPr>
      </w:pPr>
      <w:r w:rsidRPr="00EB5296">
        <w:rPr>
          <w:rFonts w:asciiTheme="minorHAnsi" w:hAnsiTheme="minorHAnsi" w:cstheme="minorHAnsi"/>
          <w:sz w:val="24"/>
          <w:szCs w:val="24"/>
        </w:rPr>
        <w:t>the declaration should contain enough detail about the nature, scope, parties involved and timeframe of the mandate;</w:t>
      </w:r>
    </w:p>
    <w:p w:rsidR="004833A6" w:rsidRPr="00EB5296" w:rsidRDefault="004833A6">
      <w:pPr>
        <w:pStyle w:val="ListParagraph"/>
        <w:tabs>
          <w:tab w:val="left" w:pos="2323"/>
          <w:tab w:val="left" w:pos="2325"/>
        </w:tabs>
        <w:autoSpaceDE w:val="0"/>
        <w:autoSpaceDN w:val="0"/>
        <w:spacing w:after="0" w:line="240" w:lineRule="auto"/>
        <w:ind w:left="2325" w:right="162"/>
        <w:contextualSpacing w:val="0"/>
        <w:jc w:val="both"/>
        <w:rPr>
          <w:rFonts w:asciiTheme="minorHAnsi" w:hAnsiTheme="minorHAnsi" w:cstheme="minorHAnsi"/>
          <w:sz w:val="24"/>
          <w:szCs w:val="24"/>
        </w:rPr>
      </w:pPr>
    </w:p>
    <w:p w:rsidR="004833A6" w:rsidRPr="00EB5296" w:rsidRDefault="000A3034">
      <w:pPr>
        <w:pStyle w:val="ListParagraph"/>
        <w:numPr>
          <w:ilvl w:val="1"/>
          <w:numId w:val="21"/>
        </w:numPr>
        <w:tabs>
          <w:tab w:val="left" w:pos="2323"/>
          <w:tab w:val="left" w:pos="2325"/>
        </w:tabs>
        <w:autoSpaceDE w:val="0"/>
        <w:autoSpaceDN w:val="0"/>
        <w:spacing w:after="0" w:line="240" w:lineRule="auto"/>
        <w:ind w:right="160"/>
        <w:contextualSpacing w:val="0"/>
        <w:jc w:val="both"/>
        <w:rPr>
          <w:rFonts w:asciiTheme="minorHAnsi" w:hAnsiTheme="minorHAnsi" w:cstheme="minorHAnsi"/>
          <w:sz w:val="24"/>
          <w:szCs w:val="24"/>
        </w:rPr>
      </w:pPr>
      <w:r w:rsidRPr="00EB5296">
        <w:rPr>
          <w:rFonts w:asciiTheme="minorHAnsi" w:hAnsiTheme="minorHAnsi" w:cstheme="minorHAnsi"/>
          <w:sz w:val="24"/>
          <w:szCs w:val="24"/>
        </w:rPr>
        <w:t>The firm should provide a description of how they intend to mitigate existing partial conflicts of interest; and ensure that there are strict “Chinese walls” around the execution team.</w:t>
      </w:r>
    </w:p>
    <w:p w:rsidR="004833A6" w:rsidRPr="00EB5296" w:rsidRDefault="004833A6">
      <w:pPr>
        <w:pStyle w:val="ListParagraph"/>
        <w:tabs>
          <w:tab w:val="left" w:pos="2323"/>
          <w:tab w:val="left" w:pos="2325"/>
        </w:tabs>
        <w:autoSpaceDE w:val="0"/>
        <w:autoSpaceDN w:val="0"/>
        <w:spacing w:after="0" w:line="240" w:lineRule="auto"/>
        <w:ind w:left="2325" w:right="160"/>
        <w:contextualSpacing w:val="0"/>
        <w:jc w:val="both"/>
        <w:rPr>
          <w:rFonts w:asciiTheme="minorHAnsi" w:hAnsiTheme="minorHAnsi" w:cstheme="minorHAnsi"/>
          <w:sz w:val="24"/>
          <w:szCs w:val="24"/>
        </w:rPr>
      </w:pPr>
    </w:p>
    <w:p w:rsidR="004833A6" w:rsidRPr="00EB5296" w:rsidRDefault="000A3034">
      <w:pPr>
        <w:pStyle w:val="ListParagraph"/>
        <w:numPr>
          <w:ilvl w:val="0"/>
          <w:numId w:val="21"/>
        </w:numPr>
        <w:autoSpaceDE w:val="0"/>
        <w:autoSpaceDN w:val="0"/>
        <w:spacing w:after="0" w:line="240" w:lineRule="auto"/>
        <w:ind w:left="1080" w:hanging="900"/>
        <w:contextualSpacing w:val="0"/>
        <w:jc w:val="both"/>
        <w:rPr>
          <w:rFonts w:asciiTheme="minorHAnsi" w:hAnsiTheme="minorHAnsi" w:cstheme="minorHAnsi"/>
          <w:sz w:val="24"/>
          <w:szCs w:val="24"/>
        </w:rPr>
      </w:pPr>
      <w:r w:rsidRPr="00EB5296">
        <w:rPr>
          <w:rFonts w:asciiTheme="minorHAnsi" w:hAnsiTheme="minorHAnsi" w:cstheme="minorHAnsi"/>
          <w:sz w:val="24"/>
          <w:szCs w:val="24"/>
        </w:rPr>
        <w:t>The</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firms</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should also</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provide a</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description</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how they</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plan</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to</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avoid</w:t>
      </w:r>
      <w:r w:rsidR="00C86B39" w:rsidRPr="00EB5296">
        <w:rPr>
          <w:rFonts w:asciiTheme="minorHAnsi" w:hAnsiTheme="minorHAnsi" w:cstheme="minorHAnsi"/>
          <w:sz w:val="24"/>
          <w:szCs w:val="24"/>
        </w:rPr>
        <w:t xml:space="preserve"> </w:t>
      </w:r>
      <w:r w:rsidRPr="00EB5296">
        <w:rPr>
          <w:rFonts w:asciiTheme="minorHAnsi" w:hAnsiTheme="minorHAnsi" w:cstheme="minorHAnsi"/>
          <w:sz w:val="24"/>
          <w:szCs w:val="24"/>
        </w:rPr>
        <w:t>potential conflicts of interests arising during the timeframe of this mandate and six months after or at least until the results of the diagnostic exercise are put into the public domain. Examples include routine conduct of conflict checks; establishment of an internal control process to ensure that upcoming engagements are not conflicted with this one; prompt notification to the supervisor of the emergence of any potential conflict of interest and a subsequent agreement with the supervisor on the course of action; restriction of</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nature</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and</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scope</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upcoming</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engagements</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during</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time</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frame</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of</w:t>
      </w:r>
      <w:r w:rsidR="004C7DE9" w:rsidRPr="00EB5296">
        <w:rPr>
          <w:rFonts w:asciiTheme="minorHAnsi" w:hAnsiTheme="minorHAnsi" w:cstheme="minorHAnsi"/>
          <w:sz w:val="24"/>
          <w:szCs w:val="24"/>
        </w:rPr>
        <w:t xml:space="preserve"> </w:t>
      </w:r>
      <w:r w:rsidRPr="00EB5296">
        <w:rPr>
          <w:rFonts w:asciiTheme="minorHAnsi" w:hAnsiTheme="minorHAnsi" w:cstheme="minorHAnsi"/>
          <w:sz w:val="24"/>
          <w:szCs w:val="24"/>
        </w:rPr>
        <w:t xml:space="preserve">this </w:t>
      </w:r>
      <w:r w:rsidRPr="00EB5296">
        <w:rPr>
          <w:rFonts w:asciiTheme="minorHAnsi" w:hAnsiTheme="minorHAnsi" w:cstheme="minorHAnsi"/>
          <w:spacing w:val="-2"/>
          <w:sz w:val="24"/>
          <w:szCs w:val="24"/>
        </w:rPr>
        <w:t>mandate.</w:t>
      </w:r>
    </w:p>
    <w:p w:rsidR="004833A6" w:rsidRPr="00EB5296" w:rsidRDefault="004833A6">
      <w:pPr>
        <w:pStyle w:val="ListParagraph"/>
        <w:autoSpaceDE w:val="0"/>
        <w:autoSpaceDN w:val="0"/>
        <w:spacing w:after="0" w:line="240" w:lineRule="auto"/>
        <w:ind w:left="1080"/>
        <w:contextualSpacing w:val="0"/>
        <w:jc w:val="both"/>
        <w:rPr>
          <w:rFonts w:asciiTheme="minorHAnsi" w:hAnsiTheme="minorHAnsi" w:cstheme="minorHAnsi"/>
          <w:sz w:val="24"/>
          <w:szCs w:val="24"/>
        </w:rPr>
      </w:pPr>
    </w:p>
    <w:p w:rsidR="004833A6" w:rsidRPr="00EB5296" w:rsidRDefault="000A3034">
      <w:pPr>
        <w:pStyle w:val="ListParagraph"/>
        <w:numPr>
          <w:ilvl w:val="0"/>
          <w:numId w:val="21"/>
        </w:numPr>
        <w:autoSpaceDE w:val="0"/>
        <w:autoSpaceDN w:val="0"/>
        <w:spacing w:after="0" w:line="240" w:lineRule="auto"/>
        <w:ind w:left="1080" w:hanging="900"/>
        <w:contextualSpacing w:val="0"/>
        <w:jc w:val="both"/>
        <w:rPr>
          <w:rFonts w:asciiTheme="minorHAnsi" w:hAnsiTheme="minorHAnsi" w:cstheme="minorHAnsi"/>
          <w:sz w:val="24"/>
          <w:szCs w:val="24"/>
        </w:rPr>
      </w:pPr>
      <w:r w:rsidRPr="00EB5296">
        <w:rPr>
          <w:rFonts w:asciiTheme="minorHAnsi" w:hAnsiTheme="minorHAnsi" w:cstheme="minorHAnsi"/>
          <w:sz w:val="24"/>
          <w:szCs w:val="24"/>
        </w:rPr>
        <w:t>Should a firm have a conflict of interest and is unable to prove that it has introduced</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the</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necessary</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safeguards</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to</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ensure</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that</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conflicts</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do</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not</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in</w:t>
      </w:r>
      <w:r w:rsidR="00011E69" w:rsidRPr="00EB5296">
        <w:rPr>
          <w:rFonts w:asciiTheme="minorHAnsi" w:hAnsiTheme="minorHAnsi" w:cstheme="minorHAnsi"/>
          <w:sz w:val="24"/>
          <w:szCs w:val="24"/>
        </w:rPr>
        <w:t xml:space="preserve"> </w:t>
      </w:r>
      <w:r w:rsidRPr="00EB5296">
        <w:rPr>
          <w:rFonts w:asciiTheme="minorHAnsi" w:hAnsiTheme="minorHAnsi" w:cstheme="minorHAnsi"/>
          <w:sz w:val="24"/>
          <w:szCs w:val="24"/>
        </w:rPr>
        <w:t>anyway have any adverse effect on the delivery of services; such firm shall not undertake the bank diagnostic exercise.</w:t>
      </w:r>
    </w:p>
    <w:p w:rsidR="004833A6" w:rsidRPr="00EB5296" w:rsidRDefault="004833A6">
      <w:pPr>
        <w:pStyle w:val="ListParagraph"/>
        <w:autoSpaceDE w:val="0"/>
        <w:autoSpaceDN w:val="0"/>
        <w:spacing w:after="0" w:line="240" w:lineRule="auto"/>
        <w:ind w:left="1080"/>
        <w:contextualSpacing w:val="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90" w:hanging="270"/>
        <w:jc w:val="both"/>
        <w:rPr>
          <w:rFonts w:asciiTheme="minorHAnsi" w:hAnsiTheme="minorHAnsi" w:cstheme="minorHAnsi"/>
          <w:b/>
          <w:bCs/>
          <w:sz w:val="24"/>
          <w:szCs w:val="24"/>
        </w:rPr>
      </w:pPr>
      <w:r w:rsidRPr="00EB5296">
        <w:rPr>
          <w:rFonts w:asciiTheme="minorHAnsi" w:hAnsiTheme="minorHAnsi" w:cstheme="minorHAnsi"/>
          <w:b/>
          <w:bCs/>
          <w:sz w:val="24"/>
          <w:szCs w:val="24"/>
        </w:rPr>
        <w:t>Institutional Arrangements</w:t>
      </w:r>
    </w:p>
    <w:p w:rsidR="004833A6" w:rsidRPr="00EB5296" w:rsidRDefault="004833A6">
      <w:pPr>
        <w:spacing w:after="0" w:line="240" w:lineRule="auto"/>
        <w:jc w:val="both"/>
        <w:rPr>
          <w:rFonts w:asciiTheme="minorHAnsi" w:hAnsiTheme="minorHAnsi" w:cstheme="minorHAnsi"/>
          <w:b/>
          <w:bCs/>
          <w:sz w:val="24"/>
          <w:szCs w:val="24"/>
        </w:rPr>
      </w:pPr>
    </w:p>
    <w:p w:rsidR="004833A6" w:rsidRPr="00EB5296" w:rsidRDefault="000A3034">
      <w:pPr>
        <w:widowControl/>
        <w:numPr>
          <w:ilvl w:val="0"/>
          <w:numId w:val="22"/>
        </w:numPr>
        <w:tabs>
          <w:tab w:val="clear" w:pos="720"/>
          <w:tab w:val="left" w:pos="1170"/>
        </w:tabs>
        <w:spacing w:after="0" w:line="240" w:lineRule="auto"/>
        <w:ind w:left="1170" w:hanging="900"/>
        <w:jc w:val="both"/>
        <w:rPr>
          <w:rFonts w:asciiTheme="minorHAnsi" w:hAnsiTheme="minorHAnsi" w:cstheme="minorHAnsi"/>
          <w:sz w:val="24"/>
          <w:szCs w:val="24"/>
        </w:rPr>
      </w:pPr>
      <w:r w:rsidRPr="00EB5296">
        <w:rPr>
          <w:rFonts w:asciiTheme="minorHAnsi" w:hAnsiTheme="minorHAnsi" w:cstheme="minorHAnsi"/>
          <w:b/>
          <w:bCs/>
          <w:sz w:val="24"/>
          <w:szCs w:val="24"/>
        </w:rPr>
        <w:t>Client</w:t>
      </w:r>
      <w:r w:rsidRPr="00EB5296">
        <w:rPr>
          <w:rFonts w:asciiTheme="minorHAnsi" w:hAnsiTheme="minorHAnsi" w:cstheme="minorHAnsi"/>
          <w:sz w:val="24"/>
          <w:szCs w:val="24"/>
        </w:rPr>
        <w:t>: Bangladesh Bank (BB) will oversee and coordinate consultin</w:t>
      </w:r>
      <w:r w:rsidR="00C62871" w:rsidRPr="00EB5296">
        <w:rPr>
          <w:rFonts w:asciiTheme="minorHAnsi" w:hAnsiTheme="minorHAnsi" w:cstheme="minorHAnsi"/>
          <w:sz w:val="24"/>
          <w:szCs w:val="24"/>
        </w:rPr>
        <w:t>g activities through its Bank</w:t>
      </w:r>
      <w:r w:rsidRPr="00EB5296">
        <w:rPr>
          <w:rFonts w:asciiTheme="minorHAnsi" w:hAnsiTheme="minorHAnsi" w:cstheme="minorHAnsi"/>
          <w:sz w:val="24"/>
          <w:szCs w:val="24"/>
        </w:rPr>
        <w:t xml:space="preserve"> </w:t>
      </w:r>
      <w:r w:rsidR="00C62871" w:rsidRPr="00EB5296">
        <w:rPr>
          <w:rFonts w:asciiTheme="minorHAnsi" w:hAnsiTheme="minorHAnsi" w:cstheme="minorHAnsi"/>
          <w:sz w:val="24"/>
          <w:szCs w:val="24"/>
        </w:rPr>
        <w:t>Resolution Department (BRD)</w:t>
      </w:r>
      <w:r w:rsidRPr="00EB5296">
        <w:rPr>
          <w:rFonts w:asciiTheme="minorHAnsi" w:hAnsiTheme="minorHAnsi" w:cstheme="minorHAnsi"/>
          <w:sz w:val="24"/>
          <w:szCs w:val="24"/>
        </w:rPr>
        <w:t>.</w:t>
      </w:r>
    </w:p>
    <w:p w:rsidR="004833A6" w:rsidRPr="00EB5296" w:rsidRDefault="000A3034">
      <w:pPr>
        <w:widowControl/>
        <w:numPr>
          <w:ilvl w:val="0"/>
          <w:numId w:val="22"/>
        </w:numPr>
        <w:tabs>
          <w:tab w:val="clear" w:pos="720"/>
          <w:tab w:val="left" w:pos="1170"/>
        </w:tabs>
        <w:spacing w:after="0" w:line="240" w:lineRule="auto"/>
        <w:ind w:left="1170" w:hanging="900"/>
        <w:jc w:val="both"/>
        <w:rPr>
          <w:rFonts w:asciiTheme="minorHAnsi" w:hAnsiTheme="minorHAnsi" w:cstheme="minorHAnsi"/>
          <w:sz w:val="24"/>
          <w:szCs w:val="24"/>
        </w:rPr>
      </w:pPr>
      <w:r w:rsidRPr="00EB5296">
        <w:rPr>
          <w:rFonts w:asciiTheme="minorHAnsi" w:hAnsiTheme="minorHAnsi" w:cstheme="minorHAnsi"/>
          <w:b/>
          <w:bCs/>
          <w:sz w:val="24"/>
          <w:szCs w:val="24"/>
        </w:rPr>
        <w:t>Reporting</w:t>
      </w:r>
      <w:r w:rsidRPr="00EB5296">
        <w:rPr>
          <w:rFonts w:asciiTheme="minorHAnsi" w:hAnsiTheme="minorHAnsi" w:cstheme="minorHAnsi"/>
          <w:sz w:val="24"/>
          <w:szCs w:val="24"/>
        </w:rPr>
        <w:t>: The service provider will report directly to Bangladesh Bank and BB’s designated project focal Point.</w:t>
      </w:r>
    </w:p>
    <w:p w:rsidR="004833A6" w:rsidRPr="00EB5296" w:rsidRDefault="000A3034">
      <w:pPr>
        <w:widowControl/>
        <w:numPr>
          <w:ilvl w:val="0"/>
          <w:numId w:val="22"/>
        </w:numPr>
        <w:tabs>
          <w:tab w:val="clear" w:pos="720"/>
          <w:tab w:val="left" w:pos="1170"/>
        </w:tabs>
        <w:spacing w:after="0" w:line="240" w:lineRule="auto"/>
        <w:ind w:left="1170" w:hanging="900"/>
        <w:jc w:val="both"/>
        <w:rPr>
          <w:rFonts w:asciiTheme="minorHAnsi" w:hAnsiTheme="minorHAnsi" w:cstheme="minorHAnsi"/>
          <w:sz w:val="24"/>
          <w:szCs w:val="24"/>
        </w:rPr>
      </w:pPr>
      <w:r w:rsidRPr="00EB5296">
        <w:rPr>
          <w:rFonts w:asciiTheme="minorHAnsi" w:hAnsiTheme="minorHAnsi" w:cstheme="minorHAnsi"/>
          <w:b/>
          <w:bCs/>
          <w:sz w:val="24"/>
          <w:szCs w:val="24"/>
        </w:rPr>
        <w:t>Stakeholders</w:t>
      </w:r>
      <w:r w:rsidRPr="00EB5296">
        <w:rPr>
          <w:rFonts w:asciiTheme="minorHAnsi" w:hAnsiTheme="minorHAnsi" w:cstheme="minorHAnsi"/>
          <w:sz w:val="24"/>
          <w:szCs w:val="24"/>
        </w:rPr>
        <w:t xml:space="preserve">: The firm will collaborate with BB’s </w:t>
      </w:r>
      <w:r w:rsidR="00C62871" w:rsidRPr="00EB5296">
        <w:rPr>
          <w:rFonts w:asciiTheme="minorHAnsi" w:hAnsiTheme="minorHAnsi" w:cstheme="minorHAnsi"/>
          <w:sz w:val="24"/>
          <w:szCs w:val="24"/>
        </w:rPr>
        <w:t>Bank Resolution Department (BRD)</w:t>
      </w:r>
      <w:r w:rsidRPr="00EB5296">
        <w:rPr>
          <w:rFonts w:asciiTheme="minorHAnsi" w:hAnsiTheme="minorHAnsi" w:cstheme="minorHAnsi"/>
          <w:sz w:val="24"/>
          <w:szCs w:val="24"/>
        </w:rPr>
        <w:t>, relevant and other external stakeholders.</w:t>
      </w:r>
    </w:p>
    <w:p w:rsidR="00857B15" w:rsidRPr="00EB5296" w:rsidRDefault="00857B15">
      <w:pPr>
        <w:pStyle w:val="ListParagraph"/>
        <w:tabs>
          <w:tab w:val="left" w:pos="613"/>
        </w:tabs>
        <w:autoSpaceDE w:val="0"/>
        <w:autoSpaceDN w:val="0"/>
        <w:spacing w:before="1" w:after="0" w:line="240" w:lineRule="auto"/>
        <w:ind w:right="165"/>
        <w:contextualSpacing w:val="0"/>
        <w:jc w:val="both"/>
        <w:rPr>
          <w:rFonts w:asciiTheme="minorHAnsi" w:hAnsiTheme="minorHAnsi" w:cstheme="minorHAnsi"/>
          <w:sz w:val="24"/>
          <w:szCs w:val="24"/>
        </w:rPr>
      </w:pPr>
    </w:p>
    <w:p w:rsidR="00EB5296" w:rsidRPr="00EB5296" w:rsidRDefault="00EB5296">
      <w:pPr>
        <w:pStyle w:val="ListParagraph"/>
        <w:tabs>
          <w:tab w:val="left" w:pos="613"/>
        </w:tabs>
        <w:autoSpaceDE w:val="0"/>
        <w:autoSpaceDN w:val="0"/>
        <w:spacing w:before="1" w:after="0" w:line="240" w:lineRule="auto"/>
        <w:ind w:right="165"/>
        <w:contextualSpacing w:val="0"/>
        <w:jc w:val="both"/>
        <w:rPr>
          <w:rFonts w:asciiTheme="minorHAnsi" w:hAnsiTheme="minorHAnsi" w:cstheme="minorHAnsi"/>
          <w:sz w:val="24"/>
          <w:szCs w:val="24"/>
        </w:rPr>
      </w:pPr>
    </w:p>
    <w:p w:rsidR="004833A6" w:rsidRPr="00EB5296" w:rsidRDefault="000A3034">
      <w:pPr>
        <w:pStyle w:val="ListParagraph"/>
        <w:widowControl/>
        <w:numPr>
          <w:ilvl w:val="0"/>
          <w:numId w:val="1"/>
        </w:numPr>
        <w:spacing w:after="0" w:line="240" w:lineRule="auto"/>
        <w:ind w:left="0"/>
        <w:jc w:val="both"/>
        <w:rPr>
          <w:rFonts w:asciiTheme="minorHAnsi" w:hAnsiTheme="minorHAnsi" w:cstheme="minorHAnsi"/>
          <w:b/>
          <w:bCs/>
          <w:sz w:val="24"/>
          <w:szCs w:val="24"/>
        </w:rPr>
      </w:pPr>
      <w:r w:rsidRPr="00EB5296">
        <w:rPr>
          <w:rFonts w:asciiTheme="minorHAnsi" w:hAnsiTheme="minorHAnsi" w:cstheme="minorHAnsi"/>
          <w:b/>
          <w:bCs/>
          <w:sz w:val="24"/>
          <w:szCs w:val="24"/>
        </w:rPr>
        <w:t>Reservation of Right.</w:t>
      </w:r>
    </w:p>
    <w:p w:rsidR="004833A6" w:rsidRPr="00EB5296" w:rsidRDefault="004833A6">
      <w:pPr>
        <w:pStyle w:val="BodyText"/>
        <w:spacing w:before="1"/>
        <w:ind w:left="0"/>
        <w:rPr>
          <w:rFonts w:asciiTheme="minorHAnsi" w:hAnsiTheme="minorHAnsi" w:cstheme="minorHAnsi"/>
          <w:b/>
          <w:sz w:val="24"/>
          <w:szCs w:val="24"/>
        </w:rPr>
      </w:pPr>
    </w:p>
    <w:p w:rsidR="004833A6" w:rsidRPr="00EB5296" w:rsidRDefault="000A3034">
      <w:pPr>
        <w:pStyle w:val="BodyText"/>
        <w:ind w:left="158"/>
        <w:rPr>
          <w:rFonts w:asciiTheme="minorHAnsi" w:hAnsiTheme="minorHAnsi" w:cstheme="minorHAnsi"/>
          <w:sz w:val="24"/>
          <w:szCs w:val="24"/>
        </w:rPr>
      </w:pPr>
      <w:r w:rsidRPr="00EB5296">
        <w:rPr>
          <w:rFonts w:asciiTheme="minorHAnsi" w:hAnsiTheme="minorHAnsi" w:cstheme="minorHAnsi"/>
          <w:sz w:val="24"/>
          <w:szCs w:val="24"/>
        </w:rPr>
        <w:t>Bangladesh Bank reserves the right to change and/or amend any part or in full of this employer’s requirements after due consultation with the core partners (i.e. World Bank).</w:t>
      </w:r>
    </w:p>
    <w:p w:rsidR="00ED1343" w:rsidRPr="00EB5296" w:rsidRDefault="00ED1343">
      <w:pPr>
        <w:pStyle w:val="BodyText"/>
        <w:ind w:left="158"/>
        <w:rPr>
          <w:rFonts w:asciiTheme="minorHAnsi" w:hAnsiTheme="minorHAnsi" w:cstheme="minorHAnsi"/>
          <w:sz w:val="24"/>
          <w:szCs w:val="24"/>
        </w:rPr>
      </w:pPr>
    </w:p>
    <w:p w:rsidR="009B5CA8" w:rsidRDefault="009B5CA8">
      <w:pPr>
        <w:pStyle w:val="BodyText"/>
        <w:ind w:left="158"/>
        <w:rPr>
          <w:rFonts w:asciiTheme="minorHAnsi" w:hAnsiTheme="minorHAnsi" w:cstheme="minorHAnsi"/>
          <w:sz w:val="24"/>
          <w:szCs w:val="24"/>
        </w:rPr>
      </w:pPr>
    </w:p>
    <w:p w:rsidR="00A752AE" w:rsidRPr="00EB5296" w:rsidRDefault="00A752AE">
      <w:pPr>
        <w:pStyle w:val="BodyText"/>
        <w:ind w:left="158"/>
        <w:rPr>
          <w:rFonts w:asciiTheme="minorHAnsi" w:hAnsiTheme="minorHAnsi" w:cstheme="minorHAnsi"/>
          <w:sz w:val="24"/>
          <w:szCs w:val="24"/>
        </w:rPr>
      </w:pPr>
    </w:p>
    <w:p w:rsidR="009B5CA8" w:rsidRPr="00EB5296" w:rsidRDefault="009B5CA8">
      <w:pPr>
        <w:pStyle w:val="BodyText"/>
        <w:ind w:left="158"/>
        <w:rPr>
          <w:rFonts w:asciiTheme="minorHAnsi" w:hAnsiTheme="minorHAnsi" w:cstheme="minorHAnsi"/>
          <w:sz w:val="24"/>
          <w:szCs w:val="24"/>
        </w:rPr>
      </w:pPr>
    </w:p>
    <w:p w:rsidR="009B5CA8" w:rsidRDefault="009B5CA8">
      <w:pPr>
        <w:pStyle w:val="BodyText"/>
        <w:ind w:left="158"/>
        <w:rPr>
          <w:rFonts w:asciiTheme="minorHAnsi" w:hAnsiTheme="minorHAnsi" w:cstheme="minorHAnsi"/>
          <w:sz w:val="24"/>
          <w:szCs w:val="24"/>
        </w:rPr>
      </w:pPr>
    </w:p>
    <w:p w:rsidR="0022411F" w:rsidRDefault="0022411F">
      <w:pPr>
        <w:pStyle w:val="BodyText"/>
        <w:ind w:left="158"/>
        <w:rPr>
          <w:rFonts w:asciiTheme="minorHAnsi" w:hAnsiTheme="minorHAnsi" w:cstheme="minorHAnsi"/>
          <w:sz w:val="24"/>
          <w:szCs w:val="24"/>
        </w:rPr>
      </w:pPr>
    </w:p>
    <w:p w:rsidR="0022411F" w:rsidRPr="00EB5296" w:rsidRDefault="0022411F">
      <w:pPr>
        <w:pStyle w:val="BodyText"/>
        <w:ind w:left="158"/>
        <w:rPr>
          <w:rFonts w:asciiTheme="minorHAnsi" w:hAnsiTheme="minorHAnsi" w:cstheme="minorHAnsi"/>
          <w:sz w:val="24"/>
          <w:szCs w:val="24"/>
        </w:rPr>
      </w:pPr>
    </w:p>
    <w:p w:rsidR="004833A6" w:rsidRPr="00EB5296" w:rsidRDefault="000A3034">
      <w:pPr>
        <w:spacing w:before="50" w:after="0" w:line="361" w:lineRule="exact"/>
        <w:ind w:right="88"/>
        <w:jc w:val="center"/>
        <w:rPr>
          <w:rFonts w:asciiTheme="minorHAnsi" w:eastAsia="Arial" w:hAnsiTheme="minorHAnsi" w:cstheme="minorHAnsi"/>
          <w:b/>
          <w:bCs/>
          <w:position w:val="-1"/>
          <w:sz w:val="24"/>
          <w:u w:val="single"/>
        </w:rPr>
      </w:pPr>
      <w:r w:rsidRPr="00EB5296">
        <w:rPr>
          <w:rFonts w:asciiTheme="minorHAnsi" w:eastAsia="Arial" w:hAnsiTheme="minorHAnsi" w:cstheme="minorHAnsi"/>
          <w:b/>
          <w:bCs/>
          <w:position w:val="-1"/>
          <w:sz w:val="24"/>
          <w:u w:val="single"/>
        </w:rPr>
        <w:lastRenderedPageBreak/>
        <w:t xml:space="preserve">Qualifications, Experience and Responsibilities of the Service providers under the </w:t>
      </w:r>
      <w:r w:rsidR="005C2E37" w:rsidRPr="005C2E37">
        <w:rPr>
          <w:rFonts w:ascii="Times New Roman" w:eastAsia="Times New Roman" w:hAnsi="Times New Roman"/>
          <w:b/>
          <w:bCs/>
          <w:sz w:val="24"/>
          <w:szCs w:val="24"/>
          <w:u w:val="single"/>
        </w:rPr>
        <w:t>International Consulting Firms (Service Provider) for Asset Quality Review (AQR)</w:t>
      </w:r>
      <w:r w:rsidR="005C2E37" w:rsidRPr="005C2E37">
        <w:rPr>
          <w:rFonts w:asciiTheme="minorHAnsi" w:eastAsia="Arial" w:hAnsiTheme="minorHAnsi" w:cstheme="minorHAnsi"/>
          <w:b/>
          <w:bCs/>
          <w:position w:val="-1"/>
          <w:sz w:val="24"/>
          <w:u w:val="single"/>
        </w:rPr>
        <w:t xml:space="preserve"> in </w:t>
      </w:r>
      <w:r w:rsidRPr="00EB5296">
        <w:rPr>
          <w:rFonts w:asciiTheme="minorHAnsi" w:eastAsia="Arial" w:hAnsiTheme="minorHAnsi" w:cstheme="minorHAnsi"/>
          <w:b/>
          <w:bCs/>
          <w:position w:val="-1"/>
          <w:sz w:val="24"/>
          <w:u w:val="single"/>
        </w:rPr>
        <w:t>03 Banks (B1)</w:t>
      </w:r>
    </w:p>
    <w:p w:rsidR="001B7BCD" w:rsidRPr="00EB5296" w:rsidRDefault="001B7BCD" w:rsidP="001B7BCD">
      <w:pPr>
        <w:spacing w:after="0" w:line="361" w:lineRule="exact"/>
        <w:ind w:right="88"/>
        <w:jc w:val="center"/>
        <w:rPr>
          <w:rFonts w:asciiTheme="minorHAnsi" w:eastAsia="Arial" w:hAnsiTheme="minorHAnsi" w:cstheme="minorHAnsi"/>
          <w:b/>
          <w:bCs/>
          <w:position w:val="-1"/>
          <w:sz w:val="28"/>
          <w:szCs w:val="24"/>
        </w:rPr>
      </w:pPr>
      <w:r w:rsidRPr="00EB5296">
        <w:rPr>
          <w:rFonts w:asciiTheme="minorHAnsi" w:eastAsia="Arial" w:hAnsiTheme="minorHAnsi" w:cstheme="minorHAnsi"/>
          <w:b/>
          <w:bCs/>
          <w:position w:val="-1"/>
          <w:sz w:val="28"/>
          <w:szCs w:val="24"/>
        </w:rPr>
        <w:t>(Reference no. S-1_PPA_FSSP-II)</w:t>
      </w:r>
    </w:p>
    <w:p w:rsidR="001B7BCD" w:rsidRPr="00EB5296" w:rsidRDefault="001B7BCD">
      <w:pPr>
        <w:spacing w:after="0" w:line="361" w:lineRule="exact"/>
        <w:ind w:right="88"/>
        <w:jc w:val="center"/>
        <w:rPr>
          <w:rFonts w:asciiTheme="minorHAnsi" w:eastAsia="Arial" w:hAnsiTheme="minorHAnsi" w:cstheme="minorHAnsi"/>
          <w:b/>
          <w:bCs/>
          <w:position w:val="-1"/>
          <w:sz w:val="28"/>
          <w:szCs w:val="24"/>
        </w:rPr>
      </w:pPr>
    </w:p>
    <w:tbl>
      <w:tblPr>
        <w:tblW w:w="5432" w:type="pct"/>
        <w:jc w:val="center"/>
        <w:tblLayout w:type="fixed"/>
        <w:tblLook w:val="04A0"/>
      </w:tblPr>
      <w:tblGrid>
        <w:gridCol w:w="1026"/>
        <w:gridCol w:w="1060"/>
        <w:gridCol w:w="956"/>
        <w:gridCol w:w="2695"/>
        <w:gridCol w:w="1912"/>
        <w:gridCol w:w="2392"/>
      </w:tblGrid>
      <w:tr w:rsidR="004833A6" w:rsidRPr="00EB5296">
        <w:trPr>
          <w:trHeight w:val="288"/>
          <w:tblHeader/>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Position</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Number of Service providers</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Estimated Person Months</w:t>
            </w:r>
          </w:p>
        </w:tc>
        <w:tc>
          <w:tcPr>
            <w:tcW w:w="1342"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Educational Qualification</w:t>
            </w:r>
          </w:p>
        </w:tc>
        <w:tc>
          <w:tcPr>
            <w:tcW w:w="952"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Experience</w:t>
            </w:r>
          </w:p>
        </w:tc>
        <w:tc>
          <w:tcPr>
            <w:tcW w:w="119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Responsibilities</w:t>
            </w:r>
          </w:p>
        </w:tc>
      </w:tr>
      <w:tr w:rsidR="004833A6" w:rsidRPr="00EB5296">
        <w:trPr>
          <w:trHeight w:val="4796"/>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Team Leader</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Finance, Accounting, Economics, Bank Management or related fields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MBA is an added qualification.</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15 years of experience in managing large-scale banking and financial sector projects.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Minimum 10 years of experience in asset quality reviews or similar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Certification in project management (e.g., PMP) is an added qualification.</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Experience working in international banking environments.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Oversee the entire AQR process and ensure compliance with Bangladesh Bank guidelines.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Coordinate with stakeholders, including banks and consulting teams.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Ensure timely completion of deliverables and adherence to project scope.</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Develop frameworks and methodologies for AQR execution.</w:t>
            </w:r>
          </w:p>
        </w:tc>
      </w:tr>
      <w:tr w:rsidR="004833A6" w:rsidRPr="00EB5296">
        <w:trPr>
          <w:trHeight w:val="1861"/>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Accounting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Accounting or Finance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accounting practices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Extensive knowledge of IFRS and local accounting standards.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Proven track record in financial statement analysis.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Review financial statements for accuracy and compliance with regulatory standards.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Assess the adequacy of provisions for bad debts and NPLs.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insights on financial health and reporting practices.</w:t>
            </w:r>
          </w:p>
        </w:tc>
      </w:tr>
      <w:tr w:rsidR="004833A6" w:rsidRPr="00EB5296">
        <w:trPr>
          <w:trHeight w:val="386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Risk Management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Risk Management, Finance, or Bank Management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At least 10 years of experience in risk management within financial institutions.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Expertise in developing risk frameworks and policies.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Knowledge of Basel III regulations is essential.</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Evaluate existing risk management frameworks and practices.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Develop recommendations for enhancing risk management processes.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Ensure alignment with regulatory requirements and best practices.</w:t>
            </w:r>
          </w:p>
        </w:tc>
      </w:tr>
      <w:tr w:rsidR="004833A6" w:rsidRPr="00EB5296">
        <w:trPr>
          <w:trHeight w:val="3779"/>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Market Risk Management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w:t>
            </w:r>
            <w:r w:rsidR="00011E69" w:rsidRPr="00EB5296">
              <w:rPr>
                <w:rFonts w:asciiTheme="minorHAnsi" w:eastAsia="Times New Roman" w:hAnsiTheme="minorHAnsi" w:cstheme="minorHAnsi"/>
                <w:color w:val="000000"/>
                <w:sz w:val="20"/>
                <w:szCs w:val="20"/>
              </w:rPr>
              <w:t>achelor’s/Master of</w:t>
            </w:r>
            <w:r w:rsidRPr="00EB5296">
              <w:rPr>
                <w:rFonts w:asciiTheme="minorHAnsi" w:eastAsia="Times New Roman" w:hAnsiTheme="minorHAnsi" w:cstheme="minorHAnsi"/>
                <w:color w:val="000000"/>
                <w:sz w:val="20"/>
                <w:szCs w:val="20"/>
              </w:rPr>
              <w:t xml:space="preserve"> finance, Economics,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market risk analysis within banking sectors.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-Strong understanding of market risk models and stress testing methodologies.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-Relevant certifications (e.g., FRM)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Analyze market risks associated with bank portfolios.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Conduct stress testing and scenario analysis to assess potential impacts on capital adequacy.</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recommendations for mitigating market risks.</w:t>
            </w:r>
          </w:p>
        </w:tc>
      </w:tr>
      <w:tr w:rsidR="004833A6" w:rsidRPr="00EB5296">
        <w:trPr>
          <w:trHeight w:val="278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hAnsiTheme="minorHAnsi" w:cstheme="minorHAnsi"/>
                <w:b/>
                <w:bCs/>
                <w:sz w:val="20"/>
                <w:szCs w:val="20"/>
              </w:rPr>
              <w:t>Credit Risk Analysts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xml:space="preserve">Bachelor’s/ </w:t>
            </w:r>
            <w:r w:rsidR="00011E69" w:rsidRPr="00EB5296">
              <w:rPr>
                <w:rFonts w:asciiTheme="minorHAnsi" w:hAnsiTheme="minorHAnsi" w:cstheme="minorHAnsi"/>
                <w:sz w:val="20"/>
                <w:szCs w:val="20"/>
              </w:rPr>
              <w:t>master are</w:t>
            </w:r>
            <w:r w:rsidRPr="00EB5296">
              <w:rPr>
                <w:rFonts w:asciiTheme="minorHAnsi" w:hAnsiTheme="minorHAnsi" w:cstheme="minorHAnsi"/>
                <w:sz w:val="20"/>
                <w:szCs w:val="20"/>
              </w:rPr>
              <w:t xml:space="preserve"> in finance, Economics, or related fields from recognized universities.</w:t>
            </w:r>
          </w:p>
          <w:p w:rsidR="004833A6" w:rsidRPr="00EB5296" w:rsidRDefault="004833A6">
            <w:pPr>
              <w:spacing w:after="0" w:line="240" w:lineRule="auto"/>
              <w:jc w:val="both"/>
              <w:rPr>
                <w:rFonts w:asciiTheme="minorHAnsi" w:hAnsiTheme="minorHAnsi" w:cstheme="minorHAnsi"/>
                <w:sz w:val="20"/>
                <w:szCs w:val="20"/>
              </w:rPr>
            </w:pPr>
          </w:p>
          <w:p w:rsidR="004833A6" w:rsidRPr="00EB5296" w:rsidRDefault="004833A6">
            <w:pPr>
              <w:spacing w:after="0" w:line="240" w:lineRule="auto"/>
              <w:jc w:val="both"/>
              <w:rPr>
                <w:rFonts w:asciiTheme="minorHAnsi" w:hAnsiTheme="minorHAnsi" w:cstheme="minorHAnsi"/>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hAnsiTheme="minorHAnsi" w:cstheme="minorHAnsi"/>
                <w:sz w:val="20"/>
                <w:szCs w:val="20"/>
              </w:rPr>
            </w:pPr>
            <w:r w:rsidRPr="00EB5296">
              <w:rPr>
                <w:rFonts w:asciiTheme="minorHAnsi" w:hAnsiTheme="minorHAnsi" w:cstheme="minorHAnsi"/>
                <w:sz w:val="20"/>
                <w:szCs w:val="20"/>
              </w:rPr>
              <w:t>- At least 10 years of experience in credit risk analysis for large financial institutions.</w:t>
            </w:r>
          </w:p>
          <w:p w:rsidR="004833A6" w:rsidRPr="00EB5296" w:rsidRDefault="000A3034">
            <w:pPr>
              <w:spacing w:after="0" w:line="240" w:lineRule="auto"/>
              <w:rPr>
                <w:rFonts w:asciiTheme="minorHAnsi" w:hAnsiTheme="minorHAnsi" w:cstheme="minorHAnsi"/>
                <w:sz w:val="20"/>
                <w:szCs w:val="20"/>
              </w:rPr>
            </w:pPr>
            <w:r w:rsidRPr="00EB5296">
              <w:rPr>
                <w:rFonts w:asciiTheme="minorHAnsi" w:hAnsiTheme="minorHAnsi" w:cstheme="minorHAnsi"/>
                <w:sz w:val="20"/>
                <w:szCs w:val="20"/>
              </w:rPr>
              <w:br/>
              <w:t>-Expertise in evaluating non-performing loans (NPLs), provisioning requirements, and stress testing.</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hAnsiTheme="minorHAnsi" w:cstheme="minorHAnsi"/>
                <w:sz w:val="20"/>
                <w:szCs w:val="20"/>
              </w:rPr>
              <w:br/>
              <w:t>-Industry-standard certifications such as CFA or FRM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Assess the credit risk profiles of banks’ loan portfolios.</w:t>
            </w:r>
          </w:p>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Evaluate NPLs and provisioning adequacy as per regulatory requirements.</w:t>
            </w:r>
          </w:p>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Develop recommendations to mitigate credit risks and improve asset quality management.</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hAnsiTheme="minorHAnsi" w:cstheme="minorHAnsi"/>
                <w:sz w:val="20"/>
                <w:szCs w:val="20"/>
              </w:rPr>
              <w:t>- Ensure compliance with international best practices for credit risk management.</w:t>
            </w:r>
          </w:p>
        </w:tc>
      </w:tr>
      <w:tr w:rsidR="004833A6" w:rsidRPr="00EB5296">
        <w:trPr>
          <w:trHeight w:val="296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Financial Regulation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Law, Accounting, Finance, Economics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financial regulation compliance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-Strong understanding of local and international regulatory frameworks.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Proven expertise in advising on compliance matters.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Review compliance with banking regulations and standards.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guidance on regulatory changes impacting asset quality management.</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Assist banks in developing compliance frameworks.</w:t>
            </w:r>
          </w:p>
        </w:tc>
      </w:tr>
      <w:tr w:rsidR="004833A6" w:rsidRPr="00EB5296">
        <w:trPr>
          <w:trHeight w:val="2807"/>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Data Analysts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Bachelor’s/master’s in data science, Big Data Analytics, Computer Sciences, Statistics, or related fields from recognized universities.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At least 5 years of experience in data analysis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-Proficiency in data analytics tools and software (e.g., SQL, Python, 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-Experience with financial data modeling is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Analyze data related to asset quality and financial performance metrics.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Assist in the preparation of reports highlighting key findings from the AQR process.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Support decision-making through data-driven insights.</w:t>
            </w:r>
          </w:p>
        </w:tc>
      </w:tr>
      <w:tr w:rsidR="004833A6" w:rsidRPr="00EB5296">
        <w:trPr>
          <w:trHeight w:val="4076"/>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Valuation Service providers/Experts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 in finance, Accounting, or a related field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Professional valuation certifications (e.g., ASA, CFA) are preferred.</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business valuation within the banking or financial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Expertise in valuing loan portfolios, securities, and other assets.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-Sound understanding in the real estate and mortgaged related market.</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possess reasonable knowledge about the international and local assets valuation.</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Conduct valuations of bank assets including loans and securities to assess their fair value.</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Analyze market conditions affecting asset valuations.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Prepare detailed valuation reports to support AQR findings.</w:t>
            </w:r>
          </w:p>
        </w:tc>
      </w:tr>
      <w:tr w:rsidR="004833A6" w:rsidRPr="00EB5296">
        <w:trPr>
          <w:trHeight w:val="341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Forensic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forensic accounting, accounting, Finance,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CAMS, 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forensic accounting or investigations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Expertise in fraud detection, financial crime investigation, and compliance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-Relevant certifications such as CFE (Certified Fraud Examiner)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Conduct forensic investigations related to asset quality issues and potential fraud cases.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Analyze financial records for discrepancies or irregularities.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Prepare detailed reports on findings for regulatory compliance and remediation actions</w:t>
            </w:r>
          </w:p>
        </w:tc>
      </w:tr>
      <w:tr w:rsidR="004833A6" w:rsidRPr="00EB5296">
        <w:trPr>
          <w:trHeight w:val="4805"/>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Lead/ Country Project Manager</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Finance, Accounting, Economics, Bank Management or related fields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MBA is an added qualification.</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15 years of experience in managing large-scale banking and financial sector projects.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Minimum 10 years of experience in asset quality reviews or similar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-Certification in project management (e.g., PMP) is an added qualification.</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Experience working in international banking environments.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Oversee the entire AQR process and ensure compliance with Bangladesh Bank guidelines.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Coordinate with stakeholders, including banks and consulting teams.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Ensure timely completion of deliverable and adherence to project scope.</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Develop frameworks and methodologies for AQR execution.</w:t>
            </w:r>
          </w:p>
        </w:tc>
      </w:tr>
    </w:tbl>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0A3034">
      <w:pPr>
        <w:spacing w:before="50" w:after="0" w:line="361" w:lineRule="exact"/>
        <w:ind w:right="88"/>
        <w:jc w:val="center"/>
        <w:rPr>
          <w:rFonts w:asciiTheme="minorHAnsi" w:eastAsia="Arial" w:hAnsiTheme="minorHAnsi" w:cstheme="minorHAnsi"/>
          <w:b/>
          <w:bCs/>
          <w:position w:val="-1"/>
          <w:sz w:val="24"/>
          <w:u w:val="single"/>
        </w:rPr>
      </w:pPr>
      <w:r w:rsidRPr="00EB5296">
        <w:rPr>
          <w:rFonts w:asciiTheme="minorHAnsi" w:eastAsia="Arial" w:hAnsiTheme="minorHAnsi" w:cstheme="minorHAnsi"/>
          <w:b/>
          <w:bCs/>
          <w:position w:val="-1"/>
          <w:sz w:val="24"/>
          <w:u w:val="single"/>
        </w:rPr>
        <w:lastRenderedPageBreak/>
        <w:t xml:space="preserve">Qualifications, Experience and Responsibilities of the Service providers under the </w:t>
      </w:r>
      <w:r w:rsidR="005C2E37" w:rsidRPr="005C2E37">
        <w:rPr>
          <w:rFonts w:ascii="Times New Roman" w:eastAsia="Times New Roman" w:hAnsi="Times New Roman"/>
          <w:b/>
          <w:bCs/>
          <w:sz w:val="24"/>
          <w:szCs w:val="24"/>
          <w:u w:val="single"/>
        </w:rPr>
        <w:t>International Consulting Firms (Service Provider) for Asset Quality Review (AQR)</w:t>
      </w:r>
      <w:r w:rsidR="005C2E37" w:rsidRPr="005C2E37">
        <w:rPr>
          <w:rFonts w:asciiTheme="minorHAnsi" w:eastAsia="Arial" w:hAnsiTheme="minorHAnsi" w:cstheme="minorHAnsi"/>
          <w:b/>
          <w:bCs/>
          <w:position w:val="-1"/>
          <w:sz w:val="24"/>
          <w:u w:val="single"/>
        </w:rPr>
        <w:t xml:space="preserve"> </w:t>
      </w:r>
      <w:r w:rsidRPr="00EB5296">
        <w:rPr>
          <w:rFonts w:asciiTheme="minorHAnsi" w:eastAsia="Arial" w:hAnsiTheme="minorHAnsi" w:cstheme="minorHAnsi"/>
          <w:b/>
          <w:bCs/>
          <w:position w:val="-1"/>
          <w:sz w:val="24"/>
          <w:u w:val="single"/>
        </w:rPr>
        <w:t>in 03 Banks</w:t>
      </w:r>
      <w:r w:rsidR="005C2E37">
        <w:rPr>
          <w:rFonts w:asciiTheme="minorHAnsi" w:eastAsia="Arial" w:hAnsiTheme="minorHAnsi" w:cstheme="minorHAnsi"/>
          <w:b/>
          <w:bCs/>
          <w:position w:val="-1"/>
          <w:sz w:val="24"/>
          <w:u w:val="single"/>
        </w:rPr>
        <w:t xml:space="preserve"> </w:t>
      </w:r>
      <w:r w:rsidRPr="00EB5296">
        <w:rPr>
          <w:rFonts w:asciiTheme="minorHAnsi" w:eastAsia="Arial" w:hAnsiTheme="minorHAnsi" w:cstheme="minorHAnsi"/>
          <w:b/>
          <w:bCs/>
          <w:position w:val="-1"/>
          <w:sz w:val="24"/>
          <w:u w:val="single"/>
        </w:rPr>
        <w:t>(B2)</w:t>
      </w:r>
    </w:p>
    <w:p w:rsidR="001B7BCD" w:rsidRPr="00B96E0E" w:rsidRDefault="001B7BCD" w:rsidP="001B7BCD">
      <w:pPr>
        <w:spacing w:after="0" w:line="361" w:lineRule="exact"/>
        <w:ind w:right="88"/>
        <w:jc w:val="center"/>
        <w:rPr>
          <w:rFonts w:asciiTheme="minorHAnsi" w:eastAsia="Arial" w:hAnsiTheme="minorHAnsi" w:cstheme="minorHAnsi"/>
          <w:b/>
          <w:bCs/>
          <w:position w:val="-1"/>
          <w:sz w:val="14"/>
          <w:szCs w:val="24"/>
        </w:rPr>
      </w:pPr>
    </w:p>
    <w:p w:rsidR="001B7BCD" w:rsidRPr="00EB5296" w:rsidRDefault="001B7BCD" w:rsidP="001B7BCD">
      <w:pPr>
        <w:spacing w:after="0" w:line="361" w:lineRule="exact"/>
        <w:ind w:right="88"/>
        <w:jc w:val="center"/>
        <w:rPr>
          <w:rFonts w:asciiTheme="minorHAnsi" w:eastAsia="Arial" w:hAnsiTheme="minorHAnsi" w:cstheme="minorHAnsi"/>
          <w:b/>
          <w:bCs/>
          <w:position w:val="-1"/>
          <w:sz w:val="28"/>
          <w:szCs w:val="24"/>
        </w:rPr>
      </w:pPr>
      <w:r w:rsidRPr="00EB5296">
        <w:rPr>
          <w:rFonts w:asciiTheme="minorHAnsi" w:eastAsia="Arial" w:hAnsiTheme="minorHAnsi" w:cstheme="minorHAnsi"/>
          <w:b/>
          <w:bCs/>
          <w:position w:val="-1"/>
          <w:sz w:val="28"/>
          <w:szCs w:val="24"/>
        </w:rPr>
        <w:t>(Reference no. S-1_PPA_FSSP-II)</w:t>
      </w:r>
    </w:p>
    <w:tbl>
      <w:tblPr>
        <w:tblW w:w="5432" w:type="pct"/>
        <w:jc w:val="center"/>
        <w:tblLayout w:type="fixed"/>
        <w:tblLook w:val="04A0"/>
      </w:tblPr>
      <w:tblGrid>
        <w:gridCol w:w="1026"/>
        <w:gridCol w:w="1060"/>
        <w:gridCol w:w="956"/>
        <w:gridCol w:w="2695"/>
        <w:gridCol w:w="1912"/>
        <w:gridCol w:w="2392"/>
      </w:tblGrid>
      <w:tr w:rsidR="004833A6" w:rsidRPr="00EB5296">
        <w:trPr>
          <w:trHeight w:val="288"/>
          <w:tblHeader/>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Position</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Number of Service providers</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Estimated Person Months</w:t>
            </w:r>
          </w:p>
        </w:tc>
        <w:tc>
          <w:tcPr>
            <w:tcW w:w="1342"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Educational Qualification</w:t>
            </w:r>
          </w:p>
        </w:tc>
        <w:tc>
          <w:tcPr>
            <w:tcW w:w="952"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Experience</w:t>
            </w:r>
          </w:p>
        </w:tc>
        <w:tc>
          <w:tcPr>
            <w:tcW w:w="119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Responsibilities</w:t>
            </w:r>
          </w:p>
        </w:tc>
      </w:tr>
      <w:tr w:rsidR="004833A6" w:rsidRPr="00EB5296">
        <w:trPr>
          <w:trHeight w:val="4796"/>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Team Leader</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Finance, Accounting, Economics, Bank Management or related fields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MBA is an added qualification.</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15 years of experience in managing large-scale banking and financial sector projects.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Minimum 10 years of experience in asset quality reviews or similar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Certification in project management (e.g., PMP) is an added qualification.</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Experience working in international banking environments.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Oversee the entire AQR process and ensure compliance with Bangladesh Bank guidelines.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Coordinate with stakeholders, including banks and consulting teams.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Ensure timely completion of deliverables and adherence to project scope.</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Develop frameworks and methodologies for AQR execution.</w:t>
            </w:r>
          </w:p>
        </w:tc>
      </w:tr>
      <w:tr w:rsidR="004833A6" w:rsidRPr="00EB5296">
        <w:trPr>
          <w:trHeight w:val="1861"/>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Accounting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Accounting or Finance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accounting practices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Extensive knowledge of IFRS and local accounting standards.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Proven track record in financial statement analysis.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Review financial statements for accuracy and compliance with regulatory standards.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Assess the adequacy of provisions for bad debts and NPLs.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insights on financial health and reporting practices.</w:t>
            </w:r>
          </w:p>
        </w:tc>
      </w:tr>
      <w:tr w:rsidR="004833A6" w:rsidRPr="00EB5296">
        <w:trPr>
          <w:trHeight w:val="386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Risk Management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Risk Management, Finance, or Bank Management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At least 10 years of experience in risk management within financial institutions.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Expertise in developing risk frameworks and policies.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Knowledge of Basel III regulations is essential.</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Evaluate existing risk management frameworks and practices.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Develop recommendations for enhancing risk management processes.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Ensure alignment with regulatory requirements and best practices.</w:t>
            </w:r>
          </w:p>
        </w:tc>
      </w:tr>
      <w:tr w:rsidR="004833A6" w:rsidRPr="00EB5296">
        <w:trPr>
          <w:trHeight w:val="3779"/>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Market Risk Management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422973">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w:t>
            </w:r>
            <w:r w:rsidR="000A3034" w:rsidRPr="00EB5296">
              <w:rPr>
                <w:rFonts w:asciiTheme="minorHAnsi" w:eastAsia="Times New Roman" w:hAnsiTheme="minorHAnsi" w:cstheme="minorHAnsi"/>
                <w:color w:val="000000"/>
                <w:sz w:val="20"/>
                <w:szCs w:val="20"/>
              </w:rPr>
              <w:t xml:space="preserve"> finance, Economics,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market risk analysis within banking sectors.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-Strong understanding of market risk models and stress testing methodologies.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-Relevant certifications (e.g., FRM)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Analyze market risks associated with bank portfolios.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Conduct stress testing and scenario analysis to assess potential impacts on capital adequacy.</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recommendations for mitigating market risks.</w:t>
            </w:r>
          </w:p>
        </w:tc>
      </w:tr>
      <w:tr w:rsidR="004833A6" w:rsidRPr="00EB5296">
        <w:trPr>
          <w:trHeight w:val="278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hAnsiTheme="minorHAnsi" w:cstheme="minorHAnsi"/>
                <w:b/>
                <w:bCs/>
                <w:sz w:val="20"/>
                <w:szCs w:val="20"/>
              </w:rPr>
              <w:t>Credit Risk Analysts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3</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12</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384778">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Bachelor’s or Master’s in Finance, Economics, or a related field from a recognized university.</w:t>
            </w:r>
          </w:p>
          <w:p w:rsidR="004833A6" w:rsidRPr="00EB5296" w:rsidRDefault="004833A6">
            <w:pPr>
              <w:spacing w:after="0" w:line="240" w:lineRule="auto"/>
              <w:jc w:val="both"/>
              <w:rPr>
                <w:rFonts w:asciiTheme="minorHAnsi" w:hAnsiTheme="minorHAnsi" w:cstheme="minorHAnsi"/>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hAnsiTheme="minorHAnsi" w:cstheme="minorHAnsi"/>
                <w:sz w:val="20"/>
                <w:szCs w:val="20"/>
              </w:rPr>
            </w:pPr>
            <w:r w:rsidRPr="00EB5296">
              <w:rPr>
                <w:rFonts w:asciiTheme="minorHAnsi" w:hAnsiTheme="minorHAnsi" w:cstheme="minorHAnsi"/>
                <w:sz w:val="20"/>
                <w:szCs w:val="20"/>
              </w:rPr>
              <w:t>- At least 10 years of experience in credit risk analysis for large financial institutions.</w:t>
            </w:r>
          </w:p>
          <w:p w:rsidR="004833A6" w:rsidRPr="00EB5296" w:rsidRDefault="000A3034">
            <w:pPr>
              <w:spacing w:after="0" w:line="240" w:lineRule="auto"/>
              <w:rPr>
                <w:rFonts w:asciiTheme="minorHAnsi" w:hAnsiTheme="minorHAnsi" w:cstheme="minorHAnsi"/>
                <w:sz w:val="20"/>
                <w:szCs w:val="20"/>
              </w:rPr>
            </w:pPr>
            <w:r w:rsidRPr="00EB5296">
              <w:rPr>
                <w:rFonts w:asciiTheme="minorHAnsi" w:hAnsiTheme="minorHAnsi" w:cstheme="minorHAnsi"/>
                <w:sz w:val="20"/>
                <w:szCs w:val="20"/>
              </w:rPr>
              <w:br/>
              <w:t>-Expertise in evaluating non-performing loans (NPLs), provisioning requirements, and stress testing.</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hAnsiTheme="minorHAnsi" w:cstheme="minorHAnsi"/>
                <w:sz w:val="20"/>
                <w:szCs w:val="20"/>
              </w:rPr>
              <w:br/>
              <w:t>-Industry-standard certifications such as CFA or FRM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Assess the credit risk profiles of banks’ loan portfolios.</w:t>
            </w:r>
          </w:p>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Evaluate NPLs and provisioning adequacy as per regulatory requirements.</w:t>
            </w:r>
          </w:p>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Develop recommendations to mitigate credit risks and improve asset quality management.</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hAnsiTheme="minorHAnsi" w:cstheme="minorHAnsi"/>
                <w:sz w:val="20"/>
                <w:szCs w:val="20"/>
              </w:rPr>
              <w:t>- Ensure compliance with international best practices for credit risk management.</w:t>
            </w:r>
          </w:p>
        </w:tc>
      </w:tr>
      <w:tr w:rsidR="004833A6" w:rsidRPr="00EB5296">
        <w:trPr>
          <w:trHeight w:val="296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Financial Regulation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Law, Accounting, Finance, Economics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financial regulation compliance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-Strong understanding of local and international regulatory frameworks.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Proven expertise in advising on compliance matters.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Review compliance with banking regulations and standards.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guidance on regulatory changes impacting asset quality management.</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Assist banks in developing compliance frameworks.</w:t>
            </w:r>
          </w:p>
        </w:tc>
      </w:tr>
      <w:tr w:rsidR="004833A6" w:rsidRPr="00EB5296">
        <w:trPr>
          <w:trHeight w:val="2807"/>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Data Analysts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Bachelor’s/master’s in data science, Big Data Analytics, Computer Sciences, Statistics, or related fields from recognized universities.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At least 5 years of experience in data analysis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-Proficiency in data analytics tools and software (e.g., SQL, Python, 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-Experience with financial data modeling is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Analyze data related to asset quality and financial performance metrics.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Assist in the preparation of reports highlighting key findings from the AQR process.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Support decision-making through data-driven insights.</w:t>
            </w:r>
          </w:p>
        </w:tc>
      </w:tr>
      <w:tr w:rsidR="004833A6" w:rsidRPr="00EB5296">
        <w:trPr>
          <w:trHeight w:val="4076"/>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Valuation Service providers/Experts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 in finance, Accounting, or a related field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Professional valuation certifications (e.g., ASA, CFA) are preferred.</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business valuation within the banking or financial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Expertise in valuing loan portfolios, securities, and other assets.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-Sound understanding in the real estate and mortgaged related market.</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possess reasonable knowledge about the international and local assets valuation.</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Conduct valuations of bank assets including loans and securities to assess their fair value.</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Analyze market conditions affecting asset valuations.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Prepare detailed valuation reports to support AQR findings.</w:t>
            </w:r>
          </w:p>
        </w:tc>
      </w:tr>
      <w:tr w:rsidR="004833A6" w:rsidRPr="00EB5296">
        <w:trPr>
          <w:trHeight w:val="341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Forensic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forensic accounting, accounting, Finance,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CAMS, 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forensic accounting or investigations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Expertise in fraud detection, financial crime investigation, and compliance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-Relevant certifications such as CFE (Certified Fraud Examiner)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Conduct forensic investigations related to asset quality issues and potential fraud cases.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Analyze financial records for discrepancies or irregularities.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Prepare detailed reports on findings for regulatory compliance and remediation actions</w:t>
            </w:r>
          </w:p>
        </w:tc>
      </w:tr>
      <w:tr w:rsidR="004833A6" w:rsidRPr="00EB5296">
        <w:trPr>
          <w:trHeight w:val="4805"/>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Lead/ Country Project Manager</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Finance, Accounting, Economics, Bank Management or related fields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MBA is an added qualification.</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15 years of experience in managing large-scale banking and financial sector projects.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Minimum 10 years of experience in asset quality reviews or similar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-Certification in project management (e.g., PMP) is an added qualification.</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Experience working in international banking environments.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Oversee the entire AQR process and ensure compliance with Bangladesh Bank guidelines.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Coordinate with stakeholders, including banks and consulting teams.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Ensure timely completion of deliverable and adherence to project scope.</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Develop frameworks and methodologies for AQR execution.</w:t>
            </w:r>
          </w:p>
        </w:tc>
      </w:tr>
    </w:tbl>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5C2E37" w:rsidRDefault="000A3034" w:rsidP="00B96E0E">
      <w:pPr>
        <w:shd w:val="clear" w:color="auto" w:fill="FFFFFF"/>
        <w:spacing w:after="0"/>
        <w:jc w:val="center"/>
        <w:rPr>
          <w:rFonts w:asciiTheme="minorHAnsi" w:eastAsia="Arial" w:hAnsiTheme="minorHAnsi" w:cstheme="minorHAnsi"/>
          <w:b/>
          <w:bCs/>
          <w:position w:val="-1"/>
          <w:sz w:val="24"/>
          <w:u w:val="single"/>
        </w:rPr>
      </w:pPr>
      <w:r w:rsidRPr="00EB5296">
        <w:rPr>
          <w:rFonts w:asciiTheme="minorHAnsi" w:eastAsia="Arial" w:hAnsiTheme="minorHAnsi" w:cstheme="minorHAnsi"/>
          <w:b/>
          <w:bCs/>
          <w:position w:val="-1"/>
          <w:sz w:val="24"/>
          <w:u w:val="single"/>
        </w:rPr>
        <w:lastRenderedPageBreak/>
        <w:t xml:space="preserve">Qualifications, Experience and Responsibilities of the Service providers under the </w:t>
      </w:r>
      <w:r w:rsidR="005C2E37" w:rsidRPr="005C2E37">
        <w:rPr>
          <w:rFonts w:ascii="Times New Roman" w:eastAsia="Times New Roman" w:hAnsi="Times New Roman"/>
          <w:b/>
          <w:bCs/>
          <w:sz w:val="24"/>
          <w:szCs w:val="24"/>
          <w:u w:val="single"/>
        </w:rPr>
        <w:t>International Consulting Firms (Service Provider) for Asset Quality Review (AQR)</w:t>
      </w:r>
      <w:r w:rsidRPr="005C2E37">
        <w:rPr>
          <w:rFonts w:asciiTheme="minorHAnsi" w:eastAsia="Arial" w:hAnsiTheme="minorHAnsi" w:cstheme="minorHAnsi"/>
          <w:b/>
          <w:bCs/>
          <w:position w:val="-1"/>
          <w:sz w:val="24"/>
          <w:u w:val="single"/>
        </w:rPr>
        <w:t xml:space="preserve"> in 02 Banks</w:t>
      </w:r>
      <w:r w:rsidR="005C2E37">
        <w:rPr>
          <w:rFonts w:asciiTheme="minorHAnsi" w:eastAsia="Arial" w:hAnsiTheme="minorHAnsi" w:cstheme="minorHAnsi"/>
          <w:b/>
          <w:bCs/>
          <w:position w:val="-1"/>
          <w:sz w:val="24"/>
          <w:u w:val="single"/>
        </w:rPr>
        <w:t xml:space="preserve"> </w:t>
      </w:r>
      <w:r w:rsidRPr="005C2E37">
        <w:rPr>
          <w:rFonts w:asciiTheme="minorHAnsi" w:eastAsia="Arial" w:hAnsiTheme="minorHAnsi" w:cstheme="minorHAnsi"/>
          <w:b/>
          <w:bCs/>
          <w:position w:val="-1"/>
          <w:sz w:val="24"/>
          <w:u w:val="single"/>
        </w:rPr>
        <w:t>(B3)</w:t>
      </w:r>
    </w:p>
    <w:p w:rsidR="004833A6" w:rsidRPr="00EB5296" w:rsidRDefault="000A3034">
      <w:pPr>
        <w:spacing w:after="0" w:line="361" w:lineRule="exact"/>
        <w:ind w:right="88"/>
        <w:jc w:val="center"/>
        <w:rPr>
          <w:rFonts w:asciiTheme="minorHAnsi" w:eastAsia="Arial" w:hAnsiTheme="minorHAnsi" w:cstheme="minorHAnsi"/>
          <w:b/>
          <w:bCs/>
          <w:position w:val="-1"/>
          <w:sz w:val="28"/>
          <w:szCs w:val="24"/>
        </w:rPr>
      </w:pPr>
      <w:r w:rsidRPr="00EB5296">
        <w:rPr>
          <w:rFonts w:asciiTheme="minorHAnsi" w:eastAsia="Arial" w:hAnsiTheme="minorHAnsi" w:cstheme="minorHAnsi"/>
          <w:b/>
          <w:bCs/>
          <w:position w:val="-1"/>
          <w:sz w:val="28"/>
          <w:szCs w:val="24"/>
        </w:rPr>
        <w:t>(</w:t>
      </w:r>
      <w:r w:rsidR="001B7BCD" w:rsidRPr="00EB5296">
        <w:rPr>
          <w:rFonts w:asciiTheme="minorHAnsi" w:eastAsia="Arial" w:hAnsiTheme="minorHAnsi" w:cstheme="minorHAnsi"/>
          <w:b/>
          <w:bCs/>
          <w:position w:val="-1"/>
          <w:sz w:val="28"/>
          <w:szCs w:val="24"/>
        </w:rPr>
        <w:t>Reference</w:t>
      </w:r>
      <w:r w:rsidRPr="00EB5296">
        <w:rPr>
          <w:rFonts w:asciiTheme="minorHAnsi" w:eastAsia="Arial" w:hAnsiTheme="minorHAnsi" w:cstheme="minorHAnsi"/>
          <w:b/>
          <w:bCs/>
          <w:position w:val="-1"/>
          <w:sz w:val="28"/>
          <w:szCs w:val="24"/>
        </w:rPr>
        <w:t xml:space="preserve"> no. </w:t>
      </w:r>
      <w:r w:rsidR="001B7BCD" w:rsidRPr="00EB5296">
        <w:rPr>
          <w:rFonts w:asciiTheme="minorHAnsi" w:eastAsia="Arial" w:hAnsiTheme="minorHAnsi" w:cstheme="minorHAnsi"/>
          <w:b/>
          <w:bCs/>
          <w:position w:val="-1"/>
          <w:sz w:val="28"/>
          <w:szCs w:val="24"/>
        </w:rPr>
        <w:t>S-1_PPA_FSSP-II</w:t>
      </w:r>
      <w:r w:rsidRPr="00EB5296">
        <w:rPr>
          <w:rFonts w:asciiTheme="minorHAnsi" w:eastAsia="Arial" w:hAnsiTheme="minorHAnsi" w:cstheme="minorHAnsi"/>
          <w:b/>
          <w:bCs/>
          <w:position w:val="-1"/>
          <w:sz w:val="28"/>
          <w:szCs w:val="24"/>
        </w:rPr>
        <w:t>)</w:t>
      </w:r>
    </w:p>
    <w:tbl>
      <w:tblPr>
        <w:tblW w:w="5432" w:type="pct"/>
        <w:jc w:val="center"/>
        <w:tblLayout w:type="fixed"/>
        <w:tblLook w:val="04A0"/>
      </w:tblPr>
      <w:tblGrid>
        <w:gridCol w:w="1026"/>
        <w:gridCol w:w="1060"/>
        <w:gridCol w:w="956"/>
        <w:gridCol w:w="2695"/>
        <w:gridCol w:w="1912"/>
        <w:gridCol w:w="2392"/>
      </w:tblGrid>
      <w:tr w:rsidR="004833A6" w:rsidRPr="00EB5296">
        <w:trPr>
          <w:trHeight w:val="288"/>
          <w:tblHeader/>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Position</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Number of Service providers</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Estimated Person Months</w:t>
            </w:r>
          </w:p>
        </w:tc>
        <w:tc>
          <w:tcPr>
            <w:tcW w:w="1342"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Educational Qualification</w:t>
            </w:r>
          </w:p>
        </w:tc>
        <w:tc>
          <w:tcPr>
            <w:tcW w:w="952"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Experience</w:t>
            </w:r>
          </w:p>
        </w:tc>
        <w:tc>
          <w:tcPr>
            <w:tcW w:w="119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Responsibilities</w:t>
            </w:r>
          </w:p>
        </w:tc>
      </w:tr>
      <w:tr w:rsidR="004833A6" w:rsidRPr="00EB5296">
        <w:trPr>
          <w:trHeight w:val="4796"/>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Team Leader</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2</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8</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Finance, Accounting, Economics, Bank Management or related fields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MBA is an added qualification.</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15 years of experience in managing large-scale banking and financial sector projects.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Minimum 10 years of experience in asset quality reviews or similar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Certification in project management (e.g., PMP) is an added qualification.</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Experience working in international banking environments.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Oversee the entire AQR process and ensure compliance with Bangladesh Bank guidelines.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Coordinate with stakeholders, including banks and consulting teams.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Ensure timely completion of deliverables and adherence to project scope.</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Develop frameworks and methodologies for AQR execution.</w:t>
            </w:r>
          </w:p>
        </w:tc>
      </w:tr>
      <w:tr w:rsidR="004833A6" w:rsidRPr="00EB5296">
        <w:trPr>
          <w:trHeight w:val="1861"/>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Accounting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2</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8</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Accounting or Finance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accounting practices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Extensive knowledge of IFRS and local accounting standards.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Proven track record in financial statement analysis.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Review financial statements for accuracy and compliance with regulatory standards.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Assess the adequacy of provisions for bad debts and NPLs.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insights on financial health and reporting practices.</w:t>
            </w:r>
          </w:p>
        </w:tc>
      </w:tr>
      <w:tr w:rsidR="004833A6" w:rsidRPr="00EB5296">
        <w:trPr>
          <w:trHeight w:val="386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Risk Management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2</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8</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Risk Management, Finance, or Bank Management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At least 10 years of experience in risk management within financial institutions.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Expertise in developing risk frameworks and policies.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Knowledge of Basel III regulations is essential.</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Evaluate existing risk management frameworks and practices.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Develop recommendations for enhancing risk management processes.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Ensure alignment with regulatory requirements and best practices.</w:t>
            </w:r>
          </w:p>
        </w:tc>
      </w:tr>
      <w:tr w:rsidR="004833A6" w:rsidRPr="00EB5296">
        <w:trPr>
          <w:trHeight w:val="3779"/>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Market Risk Management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2</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8</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finance, Economics,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market risk analysis within banking sectors.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-Strong understanding of market risk models and stress testing methodologies.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-Relevant certifications (e.g., FRM)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Analyze market risks associated with bank portfolios.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Conduct stress testing and scenario analysis to assess potential impacts on capital adequacy.</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recommendations for mitigating market risks.</w:t>
            </w:r>
          </w:p>
        </w:tc>
      </w:tr>
      <w:tr w:rsidR="004833A6" w:rsidRPr="00EB5296">
        <w:trPr>
          <w:trHeight w:val="278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hAnsiTheme="minorHAnsi" w:cstheme="minorHAnsi"/>
                <w:b/>
                <w:bCs/>
                <w:sz w:val="20"/>
                <w:szCs w:val="20"/>
              </w:rPr>
              <w:t>Credit Risk Analysts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2</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8</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57E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Bachelor’s or Master’s in Finance, Economics, or a related field from a recognized university.</w:t>
            </w:r>
          </w:p>
          <w:p w:rsidR="004833A6" w:rsidRPr="00EB5296" w:rsidRDefault="004833A6">
            <w:pPr>
              <w:spacing w:after="0" w:line="240" w:lineRule="auto"/>
              <w:jc w:val="both"/>
              <w:rPr>
                <w:rFonts w:asciiTheme="minorHAnsi" w:hAnsiTheme="minorHAnsi" w:cstheme="minorHAnsi"/>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Chartered Accountant (CA), Certified Public Accountant (CPA), ACCA, FRM, CFA or </w:t>
            </w:r>
            <w:r w:rsidR="000A57E4" w:rsidRPr="00EB5296">
              <w:rPr>
                <w:rFonts w:asciiTheme="minorHAnsi" w:eastAsia="Times New Roman" w:hAnsiTheme="minorHAnsi" w:cstheme="minorHAnsi"/>
                <w:color w:val="000000"/>
                <w:sz w:val="20"/>
                <w:szCs w:val="20"/>
              </w:rPr>
              <w:t xml:space="preserve">equivalent certification </w:t>
            </w:r>
            <w:r w:rsidRPr="00EB5296">
              <w:rPr>
                <w:rFonts w:asciiTheme="minorHAnsi" w:eastAsia="Times New Roman" w:hAnsiTheme="minorHAnsi" w:cstheme="minorHAnsi"/>
                <w:color w:val="000000"/>
                <w:sz w:val="20"/>
                <w:szCs w:val="20"/>
              </w:rPr>
              <w:t>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hAnsiTheme="minorHAnsi" w:cstheme="minorHAnsi"/>
                <w:sz w:val="20"/>
                <w:szCs w:val="20"/>
              </w:rPr>
            </w:pPr>
            <w:r w:rsidRPr="00EB5296">
              <w:rPr>
                <w:rFonts w:asciiTheme="minorHAnsi" w:hAnsiTheme="minorHAnsi" w:cstheme="minorHAnsi"/>
                <w:sz w:val="20"/>
                <w:szCs w:val="20"/>
              </w:rPr>
              <w:t>- At least 10 years of experience in credit risk analysis for large financial institutions.</w:t>
            </w:r>
          </w:p>
          <w:p w:rsidR="004833A6" w:rsidRPr="00EB5296" w:rsidRDefault="000A3034">
            <w:pPr>
              <w:spacing w:after="0" w:line="240" w:lineRule="auto"/>
              <w:rPr>
                <w:rFonts w:asciiTheme="minorHAnsi" w:hAnsiTheme="minorHAnsi" w:cstheme="minorHAnsi"/>
                <w:sz w:val="20"/>
                <w:szCs w:val="20"/>
              </w:rPr>
            </w:pPr>
            <w:r w:rsidRPr="00EB5296">
              <w:rPr>
                <w:rFonts w:asciiTheme="minorHAnsi" w:hAnsiTheme="minorHAnsi" w:cstheme="minorHAnsi"/>
                <w:sz w:val="20"/>
                <w:szCs w:val="20"/>
              </w:rPr>
              <w:br/>
              <w:t>-Expertise in evaluating non-performing loans (NPLs), provisioning requirements, and stress testing.</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hAnsiTheme="minorHAnsi" w:cstheme="minorHAnsi"/>
                <w:sz w:val="20"/>
                <w:szCs w:val="20"/>
              </w:rPr>
              <w:br/>
              <w:t>-Industry-standard certifications such as CFA or FRM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Assess the credit risk profiles of banks’ loan portfolios.</w:t>
            </w:r>
          </w:p>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Evaluate NPLs and provisioning adequacy as per regulatory requirements.</w:t>
            </w:r>
          </w:p>
          <w:p w:rsidR="004833A6" w:rsidRPr="00EB5296" w:rsidRDefault="000A3034">
            <w:pPr>
              <w:spacing w:after="0" w:line="240" w:lineRule="auto"/>
              <w:jc w:val="both"/>
              <w:rPr>
                <w:rFonts w:asciiTheme="minorHAnsi" w:hAnsiTheme="minorHAnsi" w:cstheme="minorHAnsi"/>
                <w:sz w:val="20"/>
                <w:szCs w:val="20"/>
              </w:rPr>
            </w:pPr>
            <w:r w:rsidRPr="00EB5296">
              <w:rPr>
                <w:rFonts w:asciiTheme="minorHAnsi" w:hAnsiTheme="minorHAnsi" w:cstheme="minorHAnsi"/>
                <w:sz w:val="20"/>
                <w:szCs w:val="20"/>
              </w:rPr>
              <w:t>- Develop recommendations to mitigate credit risks and improve asset quality management.</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hAnsiTheme="minorHAnsi" w:cstheme="minorHAnsi"/>
                <w:sz w:val="20"/>
                <w:szCs w:val="20"/>
              </w:rPr>
              <w:t>- Ensure compliance with international best practices for credit risk management.</w:t>
            </w:r>
          </w:p>
        </w:tc>
      </w:tr>
      <w:tr w:rsidR="004833A6" w:rsidRPr="00EB5296">
        <w:trPr>
          <w:trHeight w:val="296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Financial Regulation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Law, Accounting, Finance, Economics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financial regulation compliance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-Strong understanding of local and international regulatory frameworks.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Proven expertise in advising on compliance matters.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Review compliance with banking regulations and standards.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Provide guidance on regulatory changes impacting asset quality management.</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Assist banks in developing compliance frameworks.</w:t>
            </w:r>
          </w:p>
        </w:tc>
      </w:tr>
      <w:tr w:rsidR="004833A6" w:rsidRPr="00EB5296">
        <w:trPr>
          <w:trHeight w:val="2807"/>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Data Analysts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Bachelor’s/master’s in data science, Big Data Analytics, Computer Sciences, Statistics, or related fields from recognized universities.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At least 5 years of experience in data analysis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-Proficiency in data analytics tools and software (e.g., SQL, Python, 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-Experience with financial data modeling is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Analyze data related to asset quality and financial performance metrics.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Assist in the preparation of reports highlighting key findings from the AQR process.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Support decision-making through data-driven insights.</w:t>
            </w:r>
          </w:p>
        </w:tc>
      </w:tr>
      <w:tr w:rsidR="004833A6" w:rsidRPr="00EB5296">
        <w:trPr>
          <w:trHeight w:val="4076"/>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Valuation Service providers/Experts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 in finance, Accounting, or a related field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Professional valuation certifications (e.g., ASA, CFA) are preferred.</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business valuation within the banking or financial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Expertise in valuing loan portfolios, securities, and other assets.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-Sound understanding in the real estate and mortgaged related market.</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possess reasonable knowledge about the international and local assets valuation.</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Conduct valuations of bank assets including loans and securities to assess their fair value.</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Analyze market conditions affecting asset valuations.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Prepare detailed valuation reports to support AQR findings.</w:t>
            </w:r>
          </w:p>
        </w:tc>
      </w:tr>
      <w:tr w:rsidR="004833A6" w:rsidRPr="00EB5296">
        <w:trPr>
          <w:trHeight w:val="3410"/>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lastRenderedPageBreak/>
              <w:t>Forensic Experts</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Bachelor’s/Master of forensic accounting, accounting, Finance, or related fields from recognized institutions.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CAMS, 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10 years of experience in forensic accounting or investigations within the banking sector.</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Expertise in fraud detection, financial crime investigation, and compliance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-Relevant certifications such as CFE (Certified Fraud Examiner) are preferred.</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Conduct forensic investigations related to asset quality issues and potential fraud cases.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Analyze financial records for discrepancies or irregularities.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Prepare detailed reports on findings for regulatory compliance and remediation actions</w:t>
            </w:r>
          </w:p>
        </w:tc>
      </w:tr>
      <w:tr w:rsidR="004833A6" w:rsidRPr="00EB5296">
        <w:trPr>
          <w:trHeight w:val="4805"/>
          <w:jc w:val="center"/>
        </w:trPr>
        <w:tc>
          <w:tcPr>
            <w:tcW w:w="511"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b/>
                <w:bCs/>
                <w:color w:val="000000"/>
                <w:sz w:val="20"/>
                <w:szCs w:val="20"/>
              </w:rPr>
            </w:pPr>
            <w:r w:rsidRPr="00EB5296">
              <w:rPr>
                <w:rFonts w:asciiTheme="minorHAnsi" w:eastAsia="Times New Roman" w:hAnsiTheme="minorHAnsi" w:cstheme="minorHAnsi"/>
                <w:b/>
                <w:bCs/>
                <w:color w:val="000000"/>
                <w:sz w:val="20"/>
                <w:szCs w:val="20"/>
              </w:rPr>
              <w:t>Lead/ Country Project Manager</w:t>
            </w:r>
          </w:p>
        </w:tc>
        <w:tc>
          <w:tcPr>
            <w:tcW w:w="528"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1</w:t>
            </w:r>
          </w:p>
        </w:tc>
        <w:tc>
          <w:tcPr>
            <w:tcW w:w="476" w:type="pct"/>
            <w:tcBorders>
              <w:top w:val="single" w:sz="4" w:space="0" w:color="000000"/>
              <w:left w:val="single" w:sz="4" w:space="0" w:color="000000"/>
              <w:bottom w:val="single" w:sz="4" w:space="0" w:color="000000"/>
              <w:right w:val="single" w:sz="4" w:space="0" w:color="000000"/>
            </w:tcBorders>
            <w:noWrap/>
            <w:vAlign w:val="center"/>
          </w:tcPr>
          <w:p w:rsidR="004833A6" w:rsidRPr="00EB5296" w:rsidRDefault="000A3034">
            <w:pPr>
              <w:spacing w:after="0" w:line="240" w:lineRule="auto"/>
              <w:jc w:val="center"/>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4</w:t>
            </w:r>
          </w:p>
        </w:tc>
        <w:tc>
          <w:tcPr>
            <w:tcW w:w="1342" w:type="pct"/>
            <w:tcBorders>
              <w:top w:val="single" w:sz="4" w:space="0" w:color="000000"/>
              <w:left w:val="single" w:sz="4" w:space="0" w:color="000000"/>
              <w:bottom w:val="single" w:sz="4" w:space="0" w:color="000000"/>
              <w:right w:val="single" w:sz="4" w:space="0" w:color="000000"/>
            </w:tcBorders>
            <w:noWrap/>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xml:space="preserve">Bachelor’s/Master of Finance, Accounting, Economics, Bank Management or related fields from recognized International Universities. </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Chartered Accountant (CA), Certified Public Accountant (CPA), ACCA, FRM, CFA or equivalent certification preferred.</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MBA is an added qualification.</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As above additionally Should have AAOFI accreditation like CIPA or CSAA is required for Islamic Shariah Based Banks.</w:t>
            </w:r>
          </w:p>
          <w:p w:rsidR="004833A6" w:rsidRPr="00EB5296" w:rsidRDefault="004833A6">
            <w:pPr>
              <w:spacing w:after="0" w:line="240" w:lineRule="auto"/>
              <w:jc w:val="both"/>
              <w:rPr>
                <w:rFonts w:asciiTheme="minorHAnsi" w:eastAsia="Times New Roman" w:hAnsiTheme="minorHAnsi" w:cstheme="minorHAnsi"/>
                <w:color w:val="000000"/>
                <w:sz w:val="20"/>
                <w:szCs w:val="20"/>
              </w:rPr>
            </w:pPr>
          </w:p>
        </w:tc>
        <w:tc>
          <w:tcPr>
            <w:tcW w:w="952"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 Minimum 15 years of experience in managing large-scale banking and financial sector projects.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 Minimum 10 years of experience in asset quality reviews or similar audits.</w:t>
            </w:r>
          </w:p>
          <w:p w:rsidR="004833A6" w:rsidRPr="00EB5296" w:rsidRDefault="000A3034">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-Certification in project management (e.g., PMP) is an added qualification.</w:t>
            </w:r>
          </w:p>
          <w:p w:rsidR="004833A6" w:rsidRPr="00EB5296" w:rsidRDefault="002D4316">
            <w:pPr>
              <w:spacing w:after="0" w:line="240" w:lineRule="auto"/>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w:t>
            </w:r>
            <w:r w:rsidR="000A3034" w:rsidRPr="00EB5296">
              <w:rPr>
                <w:rFonts w:asciiTheme="minorHAnsi" w:eastAsia="Times New Roman" w:hAnsiTheme="minorHAnsi" w:cstheme="minorHAnsi"/>
                <w:color w:val="000000"/>
                <w:sz w:val="20"/>
                <w:szCs w:val="20"/>
              </w:rPr>
              <w:t>Experience working in international banking environments.</w:t>
            </w:r>
          </w:p>
        </w:tc>
        <w:tc>
          <w:tcPr>
            <w:tcW w:w="1191" w:type="pct"/>
            <w:tcBorders>
              <w:top w:val="single" w:sz="4" w:space="0" w:color="000000"/>
              <w:left w:val="single" w:sz="4" w:space="0" w:color="000000"/>
              <w:bottom w:val="single" w:sz="4" w:space="0" w:color="000000"/>
              <w:right w:val="single" w:sz="4" w:space="0" w:color="000000"/>
            </w:tcBorders>
          </w:tcPr>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t>-Oversee the entire AQR process and ensure compliance with Bangladesh Bank guidelines.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-Coordinate with stakeholders, including banks and consulting teams.</w:t>
            </w:r>
          </w:p>
          <w:p w:rsidR="004833A6" w:rsidRPr="00EB5296" w:rsidRDefault="000A3034">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-Ensure timely completion of deliverable and adherence to project scope.</w:t>
            </w:r>
          </w:p>
          <w:p w:rsidR="004833A6" w:rsidRPr="00EB5296" w:rsidRDefault="00034123">
            <w:pPr>
              <w:spacing w:after="0" w:line="240" w:lineRule="auto"/>
              <w:jc w:val="both"/>
              <w:rPr>
                <w:rFonts w:asciiTheme="minorHAnsi" w:eastAsia="Times New Roman" w:hAnsiTheme="minorHAnsi" w:cstheme="minorHAnsi"/>
                <w:color w:val="000000"/>
                <w:sz w:val="20"/>
                <w:szCs w:val="20"/>
              </w:rPr>
            </w:pPr>
            <w:r w:rsidRPr="00EB5296">
              <w:rPr>
                <w:rFonts w:asciiTheme="minorHAnsi" w:eastAsia="Times New Roman" w:hAnsiTheme="minorHAnsi" w:cstheme="minorHAnsi"/>
                <w:color w:val="000000"/>
                <w:sz w:val="20"/>
                <w:szCs w:val="20"/>
              </w:rPr>
              <w:br/>
              <w:t>-</w:t>
            </w:r>
            <w:r w:rsidR="000A3034" w:rsidRPr="00EB5296">
              <w:rPr>
                <w:rFonts w:asciiTheme="minorHAnsi" w:eastAsia="Times New Roman" w:hAnsiTheme="minorHAnsi" w:cstheme="minorHAnsi"/>
                <w:color w:val="000000"/>
                <w:sz w:val="20"/>
                <w:szCs w:val="20"/>
              </w:rPr>
              <w:t>Develop frameworks and methodologies for AQR execution.</w:t>
            </w:r>
          </w:p>
        </w:tc>
      </w:tr>
    </w:tbl>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E4514" w:rsidRPr="00EB5296" w:rsidRDefault="004E4514">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0A3034">
      <w:pPr>
        <w:jc w:val="center"/>
        <w:rPr>
          <w:rFonts w:asciiTheme="minorHAnsi" w:hAnsiTheme="minorHAnsi" w:cstheme="minorHAnsi"/>
          <w:b/>
          <w:bCs/>
          <w:sz w:val="24"/>
          <w:szCs w:val="24"/>
          <w:u w:val="single"/>
        </w:rPr>
      </w:pPr>
      <w:r w:rsidRPr="00EB5296">
        <w:rPr>
          <w:rFonts w:asciiTheme="minorHAnsi" w:hAnsiTheme="minorHAnsi" w:cstheme="minorHAnsi"/>
          <w:b/>
          <w:bCs/>
          <w:sz w:val="24"/>
          <w:szCs w:val="24"/>
          <w:u w:val="single"/>
        </w:rPr>
        <w:lastRenderedPageBreak/>
        <w:t>Key personnel who will be evaluated for Selection: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5"/>
        <w:gridCol w:w="4675"/>
      </w:tblGrid>
      <w:tr w:rsidR="004833A6" w:rsidRPr="005C2E37" w:rsidTr="00ED1343">
        <w:trPr>
          <w:jc w:val="center"/>
        </w:trPr>
        <w:tc>
          <w:tcPr>
            <w:tcW w:w="1155" w:type="dxa"/>
          </w:tcPr>
          <w:p w:rsidR="004833A6" w:rsidRPr="005C2E37" w:rsidRDefault="000A3034" w:rsidP="00ED2BC4">
            <w:pPr>
              <w:ind w:left="714" w:hanging="357"/>
              <w:jc w:val="center"/>
              <w:rPr>
                <w:rFonts w:asciiTheme="minorHAnsi" w:eastAsia="Times New Roman" w:hAnsiTheme="minorHAnsi" w:cstheme="minorHAnsi"/>
                <w:b/>
                <w:bCs/>
                <w:color w:val="000000"/>
                <w:sz w:val="24"/>
                <w:szCs w:val="20"/>
                <w:lang w:bidi="bn-BD"/>
              </w:rPr>
            </w:pPr>
            <w:r w:rsidRPr="005C2E37">
              <w:rPr>
                <w:rFonts w:asciiTheme="minorHAnsi" w:eastAsia="Times New Roman" w:hAnsiTheme="minorHAnsi" w:cstheme="minorHAnsi"/>
                <w:b/>
                <w:bCs/>
                <w:color w:val="000000"/>
                <w:sz w:val="24"/>
                <w:szCs w:val="20"/>
                <w:lang w:bidi="bn-BD"/>
              </w:rPr>
              <w:t>Sl No.</w:t>
            </w:r>
          </w:p>
        </w:tc>
        <w:tc>
          <w:tcPr>
            <w:tcW w:w="4675" w:type="dxa"/>
          </w:tcPr>
          <w:p w:rsidR="004833A6" w:rsidRPr="005C2E37" w:rsidRDefault="000A3034" w:rsidP="00ED2BC4">
            <w:pPr>
              <w:ind w:left="714" w:hanging="357"/>
              <w:jc w:val="center"/>
              <w:rPr>
                <w:rFonts w:asciiTheme="minorHAnsi" w:hAnsiTheme="minorHAnsi" w:cstheme="minorHAnsi"/>
                <w:b/>
                <w:bCs/>
                <w:sz w:val="24"/>
                <w:szCs w:val="24"/>
                <w:lang w:bidi="bn-BD"/>
              </w:rPr>
            </w:pPr>
            <w:r w:rsidRPr="005C2E37">
              <w:rPr>
                <w:rFonts w:asciiTheme="minorHAnsi" w:eastAsia="Times New Roman" w:hAnsiTheme="minorHAnsi" w:cstheme="minorHAnsi"/>
                <w:b/>
                <w:bCs/>
                <w:color w:val="000000"/>
                <w:sz w:val="24"/>
                <w:szCs w:val="20"/>
                <w:lang w:bidi="bn-BD"/>
              </w:rPr>
              <w:t>Position</w:t>
            </w:r>
          </w:p>
        </w:tc>
      </w:tr>
      <w:tr w:rsidR="004833A6" w:rsidRPr="005C2E37" w:rsidTr="00ED1343">
        <w:trPr>
          <w:jc w:val="center"/>
        </w:trPr>
        <w:tc>
          <w:tcPr>
            <w:tcW w:w="1155" w:type="dxa"/>
          </w:tcPr>
          <w:p w:rsidR="004833A6" w:rsidRPr="005C2E37" w:rsidRDefault="000A3034" w:rsidP="00503C41">
            <w:pPr>
              <w:ind w:left="714" w:hanging="357"/>
              <w:rPr>
                <w:rFonts w:asciiTheme="minorHAnsi" w:eastAsia="Times New Roman" w:hAnsiTheme="minorHAnsi" w:cstheme="minorHAnsi"/>
                <w:color w:val="000000"/>
                <w:sz w:val="24"/>
                <w:szCs w:val="20"/>
                <w:lang w:bidi="bn-BD"/>
              </w:rPr>
            </w:pPr>
            <w:r w:rsidRPr="005C2E37">
              <w:rPr>
                <w:rFonts w:asciiTheme="minorHAnsi" w:eastAsia="Times New Roman" w:hAnsiTheme="minorHAnsi" w:cstheme="minorHAnsi"/>
                <w:color w:val="000000"/>
                <w:sz w:val="24"/>
                <w:szCs w:val="20"/>
                <w:lang w:bidi="bn-BD"/>
              </w:rPr>
              <w:t>01</w:t>
            </w:r>
          </w:p>
        </w:tc>
        <w:tc>
          <w:tcPr>
            <w:tcW w:w="4675" w:type="dxa"/>
          </w:tcPr>
          <w:p w:rsidR="004833A6" w:rsidRPr="005C2E37" w:rsidRDefault="000A3034" w:rsidP="00503C41">
            <w:pPr>
              <w:ind w:left="714" w:hanging="357"/>
              <w:rPr>
                <w:rFonts w:asciiTheme="minorHAnsi" w:hAnsiTheme="minorHAnsi" w:cstheme="minorHAnsi"/>
                <w:sz w:val="24"/>
                <w:szCs w:val="24"/>
                <w:lang w:bidi="bn-BD"/>
              </w:rPr>
            </w:pPr>
            <w:r w:rsidRPr="005C2E37">
              <w:rPr>
                <w:rFonts w:asciiTheme="minorHAnsi" w:eastAsia="Times New Roman" w:hAnsiTheme="minorHAnsi" w:cstheme="minorHAnsi"/>
                <w:color w:val="000000"/>
                <w:sz w:val="24"/>
                <w:szCs w:val="20"/>
                <w:lang w:bidi="bn-BD"/>
              </w:rPr>
              <w:t>Lead/Country Project Manager</w:t>
            </w:r>
          </w:p>
        </w:tc>
      </w:tr>
      <w:tr w:rsidR="004833A6" w:rsidRPr="005C2E37" w:rsidTr="00ED1343">
        <w:trPr>
          <w:jc w:val="center"/>
        </w:trPr>
        <w:tc>
          <w:tcPr>
            <w:tcW w:w="1155" w:type="dxa"/>
          </w:tcPr>
          <w:p w:rsidR="004833A6" w:rsidRPr="005C2E37" w:rsidRDefault="000A3034" w:rsidP="00503C41">
            <w:pPr>
              <w:ind w:left="714" w:hanging="357"/>
              <w:rPr>
                <w:rFonts w:asciiTheme="minorHAnsi" w:eastAsia="Times New Roman" w:hAnsiTheme="minorHAnsi" w:cstheme="minorHAnsi"/>
                <w:color w:val="000000"/>
                <w:sz w:val="24"/>
                <w:szCs w:val="20"/>
                <w:lang w:bidi="bn-BD"/>
              </w:rPr>
            </w:pPr>
            <w:r w:rsidRPr="005C2E37">
              <w:rPr>
                <w:rFonts w:asciiTheme="minorHAnsi" w:eastAsia="Times New Roman" w:hAnsiTheme="minorHAnsi" w:cstheme="minorHAnsi"/>
                <w:color w:val="000000"/>
                <w:sz w:val="24"/>
                <w:szCs w:val="20"/>
                <w:lang w:bidi="bn-BD"/>
              </w:rPr>
              <w:t>02</w:t>
            </w:r>
          </w:p>
        </w:tc>
        <w:tc>
          <w:tcPr>
            <w:tcW w:w="4675" w:type="dxa"/>
          </w:tcPr>
          <w:p w:rsidR="004833A6" w:rsidRPr="005C2E37" w:rsidRDefault="000A3034" w:rsidP="00503C41">
            <w:pPr>
              <w:ind w:left="714" w:hanging="357"/>
              <w:rPr>
                <w:rFonts w:asciiTheme="minorHAnsi" w:hAnsiTheme="minorHAnsi" w:cstheme="minorHAnsi"/>
                <w:sz w:val="24"/>
                <w:szCs w:val="24"/>
                <w:lang w:bidi="bn-BD"/>
              </w:rPr>
            </w:pPr>
            <w:r w:rsidRPr="005C2E37">
              <w:rPr>
                <w:rFonts w:asciiTheme="minorHAnsi" w:eastAsia="Times New Roman" w:hAnsiTheme="minorHAnsi" w:cstheme="minorHAnsi"/>
                <w:color w:val="000000"/>
                <w:sz w:val="24"/>
                <w:szCs w:val="20"/>
                <w:lang w:bidi="bn-BD"/>
              </w:rPr>
              <w:t>Forensic Experts</w:t>
            </w:r>
          </w:p>
        </w:tc>
      </w:tr>
      <w:tr w:rsidR="004833A6" w:rsidRPr="005C2E37" w:rsidTr="00ED1343">
        <w:trPr>
          <w:jc w:val="center"/>
        </w:trPr>
        <w:tc>
          <w:tcPr>
            <w:tcW w:w="1155" w:type="dxa"/>
          </w:tcPr>
          <w:p w:rsidR="004833A6" w:rsidRPr="005C2E37" w:rsidRDefault="000A3034" w:rsidP="00503C41">
            <w:pPr>
              <w:ind w:left="714" w:hanging="357"/>
              <w:rPr>
                <w:rFonts w:asciiTheme="minorHAnsi" w:eastAsia="Times New Roman" w:hAnsiTheme="minorHAnsi" w:cstheme="minorHAnsi"/>
                <w:color w:val="000000"/>
                <w:sz w:val="24"/>
                <w:szCs w:val="20"/>
                <w:lang w:bidi="bn-BD"/>
              </w:rPr>
            </w:pPr>
            <w:r w:rsidRPr="005C2E37">
              <w:rPr>
                <w:rFonts w:asciiTheme="minorHAnsi" w:eastAsia="Times New Roman" w:hAnsiTheme="minorHAnsi" w:cstheme="minorHAnsi"/>
                <w:color w:val="000000"/>
                <w:sz w:val="24"/>
                <w:szCs w:val="20"/>
                <w:lang w:bidi="bn-BD"/>
              </w:rPr>
              <w:t>03</w:t>
            </w:r>
          </w:p>
        </w:tc>
        <w:tc>
          <w:tcPr>
            <w:tcW w:w="4675" w:type="dxa"/>
          </w:tcPr>
          <w:p w:rsidR="004833A6" w:rsidRPr="005C2E37" w:rsidRDefault="000A3034" w:rsidP="00503C41">
            <w:pPr>
              <w:ind w:left="714" w:hanging="357"/>
              <w:rPr>
                <w:rFonts w:asciiTheme="minorHAnsi" w:hAnsiTheme="minorHAnsi" w:cstheme="minorHAnsi"/>
                <w:sz w:val="24"/>
                <w:szCs w:val="24"/>
                <w:lang w:bidi="bn-BD"/>
              </w:rPr>
            </w:pPr>
            <w:r w:rsidRPr="005C2E37">
              <w:rPr>
                <w:rFonts w:asciiTheme="minorHAnsi" w:eastAsia="Times New Roman" w:hAnsiTheme="minorHAnsi" w:cstheme="minorHAnsi"/>
                <w:color w:val="000000"/>
                <w:sz w:val="24"/>
                <w:szCs w:val="20"/>
                <w:lang w:bidi="bn-BD"/>
              </w:rPr>
              <w:t>Valuation Service providers/Experts</w:t>
            </w:r>
          </w:p>
        </w:tc>
      </w:tr>
      <w:tr w:rsidR="004833A6" w:rsidRPr="005C2E37" w:rsidTr="00ED1343">
        <w:trPr>
          <w:jc w:val="center"/>
        </w:trPr>
        <w:tc>
          <w:tcPr>
            <w:tcW w:w="1155" w:type="dxa"/>
          </w:tcPr>
          <w:p w:rsidR="004833A6" w:rsidRPr="005C2E37" w:rsidRDefault="000A3034" w:rsidP="00503C41">
            <w:pPr>
              <w:ind w:left="714" w:hanging="357"/>
              <w:rPr>
                <w:rFonts w:asciiTheme="minorHAnsi" w:eastAsia="Times New Roman" w:hAnsiTheme="minorHAnsi" w:cstheme="minorHAnsi"/>
                <w:color w:val="000000"/>
                <w:sz w:val="24"/>
                <w:szCs w:val="20"/>
                <w:lang w:bidi="bn-BD"/>
              </w:rPr>
            </w:pPr>
            <w:r w:rsidRPr="005C2E37">
              <w:rPr>
                <w:rFonts w:asciiTheme="minorHAnsi" w:eastAsia="Times New Roman" w:hAnsiTheme="minorHAnsi" w:cstheme="minorHAnsi"/>
                <w:color w:val="000000"/>
                <w:sz w:val="24"/>
                <w:szCs w:val="20"/>
                <w:lang w:bidi="bn-BD"/>
              </w:rPr>
              <w:t>04</w:t>
            </w:r>
          </w:p>
        </w:tc>
        <w:tc>
          <w:tcPr>
            <w:tcW w:w="4675" w:type="dxa"/>
          </w:tcPr>
          <w:p w:rsidR="004833A6" w:rsidRPr="005C2E37" w:rsidRDefault="000A3034" w:rsidP="00503C41">
            <w:pPr>
              <w:ind w:left="714" w:hanging="357"/>
              <w:rPr>
                <w:rFonts w:asciiTheme="minorHAnsi" w:hAnsiTheme="minorHAnsi" w:cstheme="minorHAnsi"/>
                <w:sz w:val="24"/>
                <w:szCs w:val="24"/>
                <w:lang w:bidi="bn-BD"/>
              </w:rPr>
            </w:pPr>
            <w:r w:rsidRPr="005C2E37">
              <w:rPr>
                <w:rFonts w:asciiTheme="minorHAnsi" w:eastAsia="Times New Roman" w:hAnsiTheme="minorHAnsi" w:cstheme="minorHAnsi"/>
                <w:color w:val="000000"/>
                <w:sz w:val="24"/>
                <w:szCs w:val="20"/>
                <w:lang w:bidi="bn-BD"/>
              </w:rPr>
              <w:t>Data Analysts</w:t>
            </w:r>
          </w:p>
        </w:tc>
      </w:tr>
      <w:tr w:rsidR="004833A6" w:rsidRPr="005C2E37" w:rsidTr="00ED1343">
        <w:trPr>
          <w:jc w:val="center"/>
        </w:trPr>
        <w:tc>
          <w:tcPr>
            <w:tcW w:w="1155" w:type="dxa"/>
          </w:tcPr>
          <w:p w:rsidR="004833A6" w:rsidRPr="005C2E37" w:rsidRDefault="000A3034" w:rsidP="00503C41">
            <w:pPr>
              <w:ind w:left="714" w:hanging="357"/>
              <w:rPr>
                <w:rFonts w:asciiTheme="minorHAnsi" w:eastAsia="Times New Roman" w:hAnsiTheme="minorHAnsi" w:cstheme="minorHAnsi"/>
                <w:color w:val="000000"/>
                <w:sz w:val="24"/>
                <w:szCs w:val="20"/>
                <w:lang w:bidi="bn-BD"/>
              </w:rPr>
            </w:pPr>
            <w:r w:rsidRPr="005C2E37">
              <w:rPr>
                <w:rFonts w:asciiTheme="minorHAnsi" w:eastAsia="Times New Roman" w:hAnsiTheme="minorHAnsi" w:cstheme="minorHAnsi"/>
                <w:color w:val="000000"/>
                <w:sz w:val="24"/>
                <w:szCs w:val="20"/>
                <w:lang w:bidi="bn-BD"/>
              </w:rPr>
              <w:t>05</w:t>
            </w:r>
          </w:p>
        </w:tc>
        <w:tc>
          <w:tcPr>
            <w:tcW w:w="4675" w:type="dxa"/>
          </w:tcPr>
          <w:p w:rsidR="004833A6" w:rsidRPr="005C2E37" w:rsidRDefault="000A3034" w:rsidP="00503C41">
            <w:pPr>
              <w:ind w:left="714" w:hanging="357"/>
              <w:rPr>
                <w:rFonts w:asciiTheme="minorHAnsi" w:hAnsiTheme="minorHAnsi" w:cstheme="minorHAnsi"/>
                <w:sz w:val="24"/>
                <w:szCs w:val="24"/>
                <w:lang w:bidi="bn-BD"/>
              </w:rPr>
            </w:pPr>
            <w:r w:rsidRPr="005C2E37">
              <w:rPr>
                <w:rFonts w:asciiTheme="minorHAnsi" w:eastAsia="Times New Roman" w:hAnsiTheme="minorHAnsi" w:cstheme="minorHAnsi"/>
                <w:color w:val="000000"/>
                <w:sz w:val="24"/>
                <w:szCs w:val="20"/>
                <w:lang w:bidi="bn-BD"/>
              </w:rPr>
              <w:t>Financial Regulation Experts</w:t>
            </w:r>
          </w:p>
        </w:tc>
      </w:tr>
      <w:tr w:rsidR="004833A6" w:rsidRPr="005C2E37" w:rsidTr="00ED1343">
        <w:trPr>
          <w:jc w:val="center"/>
        </w:trPr>
        <w:tc>
          <w:tcPr>
            <w:tcW w:w="1155" w:type="dxa"/>
          </w:tcPr>
          <w:p w:rsidR="004833A6" w:rsidRPr="005C2E37" w:rsidRDefault="000A3034" w:rsidP="00503C41">
            <w:pPr>
              <w:ind w:left="714" w:hanging="357"/>
              <w:rPr>
                <w:rFonts w:asciiTheme="minorHAnsi" w:eastAsia="Times New Roman" w:hAnsiTheme="minorHAnsi" w:cstheme="minorHAnsi"/>
                <w:color w:val="000000"/>
                <w:sz w:val="24"/>
                <w:szCs w:val="20"/>
                <w:lang w:bidi="bn-BD"/>
              </w:rPr>
            </w:pPr>
            <w:r w:rsidRPr="005C2E37">
              <w:rPr>
                <w:rFonts w:asciiTheme="minorHAnsi" w:eastAsia="Times New Roman" w:hAnsiTheme="minorHAnsi" w:cstheme="minorHAnsi"/>
                <w:color w:val="000000"/>
                <w:sz w:val="24"/>
                <w:szCs w:val="20"/>
                <w:lang w:bidi="bn-BD"/>
              </w:rPr>
              <w:t>06</w:t>
            </w:r>
          </w:p>
        </w:tc>
        <w:tc>
          <w:tcPr>
            <w:tcW w:w="4675" w:type="dxa"/>
          </w:tcPr>
          <w:p w:rsidR="004833A6" w:rsidRPr="005C2E37" w:rsidRDefault="000A3034" w:rsidP="00503C41">
            <w:pPr>
              <w:ind w:left="714" w:hanging="357"/>
              <w:rPr>
                <w:rFonts w:asciiTheme="minorHAnsi" w:eastAsia="Times New Roman" w:hAnsiTheme="minorHAnsi" w:cstheme="minorHAnsi"/>
                <w:color w:val="000000"/>
                <w:sz w:val="24"/>
                <w:szCs w:val="20"/>
                <w:lang w:bidi="bn-BD"/>
              </w:rPr>
            </w:pPr>
            <w:r w:rsidRPr="005C2E37">
              <w:rPr>
                <w:rFonts w:asciiTheme="minorHAnsi" w:eastAsia="Times New Roman" w:hAnsiTheme="minorHAnsi" w:cstheme="minorHAnsi"/>
                <w:color w:val="000000"/>
                <w:sz w:val="24"/>
                <w:szCs w:val="20"/>
                <w:lang w:bidi="bn-BD"/>
              </w:rPr>
              <w:t>Team Leader (depending on the batches, Team Leader will be 2 or 3 positions)</w:t>
            </w:r>
          </w:p>
        </w:tc>
      </w:tr>
    </w:tbl>
    <w:p w:rsidR="004833A6" w:rsidRPr="00EB5296" w:rsidRDefault="004833A6">
      <w:pPr>
        <w:rPr>
          <w:rFonts w:asciiTheme="minorHAnsi" w:hAnsiTheme="minorHAnsi" w:cstheme="minorHAnsi"/>
          <w:b/>
          <w:bCs/>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p w:rsidR="004833A6" w:rsidRPr="00EB5296" w:rsidRDefault="004833A6">
      <w:pPr>
        <w:rPr>
          <w:rFonts w:asciiTheme="minorHAnsi" w:hAnsiTheme="minorHAnsi" w:cstheme="minorHAnsi"/>
        </w:rPr>
      </w:pPr>
    </w:p>
    <w:sectPr w:rsidR="004833A6" w:rsidRPr="00EB5296" w:rsidSect="00014532">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0192" w:rsidRDefault="00FD0192">
      <w:pPr>
        <w:spacing w:line="240" w:lineRule="auto"/>
      </w:pPr>
      <w:r>
        <w:separator/>
      </w:r>
    </w:p>
  </w:endnote>
  <w:endnote w:type="continuationSeparator" w:id="1">
    <w:p w:rsidR="00FD0192" w:rsidRDefault="00FD01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1"/>
    <w:family w:val="roman"/>
    <w:notTrueType/>
    <w:pitch w:val="variable"/>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0192" w:rsidRDefault="00FD0192">
      <w:pPr>
        <w:spacing w:after="0"/>
      </w:pPr>
      <w:r>
        <w:separator/>
      </w:r>
    </w:p>
  </w:footnote>
  <w:footnote w:type="continuationSeparator" w:id="1">
    <w:p w:rsidR="00FD0192" w:rsidRDefault="00FD019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1441"/>
    <w:multiLevelType w:val="multilevel"/>
    <w:tmpl w:val="043C1441"/>
    <w:lvl w:ilvl="0">
      <w:start w:val="1"/>
      <w:numFmt w:val="lowerRoman"/>
      <w:lvlText w:val="(%1)"/>
      <w:lvlJc w:val="left"/>
      <w:pPr>
        <w:ind w:left="852" w:hanging="852"/>
      </w:pPr>
      <w:rPr>
        <w:rFonts w:ascii="Times New Roman" w:eastAsia="Arial MT" w:hAnsi="Times New Roman" w:cs="Times New Roman" w:hint="default"/>
        <w:b w:val="0"/>
        <w:bCs w:val="0"/>
        <w:i w:val="0"/>
        <w:iCs w:val="0"/>
        <w:spacing w:val="-2"/>
        <w:w w:val="100"/>
        <w:sz w:val="22"/>
        <w:szCs w:val="22"/>
        <w:lang w:val="en-US" w:eastAsia="en-US" w:bidi="ar-SA"/>
      </w:rPr>
    </w:lvl>
    <w:lvl w:ilvl="1">
      <w:numFmt w:val="bullet"/>
      <w:lvlText w:val="•"/>
      <w:lvlJc w:val="left"/>
      <w:pPr>
        <w:ind w:left="1693" w:hanging="852"/>
      </w:pPr>
      <w:rPr>
        <w:rFonts w:hint="default"/>
        <w:lang w:val="en-US" w:eastAsia="en-US" w:bidi="ar-SA"/>
      </w:rPr>
    </w:lvl>
    <w:lvl w:ilvl="2">
      <w:numFmt w:val="bullet"/>
      <w:lvlText w:val="•"/>
      <w:lvlJc w:val="left"/>
      <w:pPr>
        <w:ind w:left="2531" w:hanging="852"/>
      </w:pPr>
      <w:rPr>
        <w:rFonts w:hint="default"/>
        <w:lang w:val="en-US" w:eastAsia="en-US" w:bidi="ar-SA"/>
      </w:rPr>
    </w:lvl>
    <w:lvl w:ilvl="3">
      <w:numFmt w:val="bullet"/>
      <w:lvlText w:val="•"/>
      <w:lvlJc w:val="left"/>
      <w:pPr>
        <w:ind w:left="3368" w:hanging="852"/>
      </w:pPr>
      <w:rPr>
        <w:rFonts w:hint="default"/>
        <w:lang w:val="en-US" w:eastAsia="en-US" w:bidi="ar-SA"/>
      </w:rPr>
    </w:lvl>
    <w:lvl w:ilvl="4">
      <w:numFmt w:val="bullet"/>
      <w:lvlText w:val="•"/>
      <w:lvlJc w:val="left"/>
      <w:pPr>
        <w:ind w:left="4206" w:hanging="852"/>
      </w:pPr>
      <w:rPr>
        <w:rFonts w:hint="default"/>
        <w:lang w:val="en-US" w:eastAsia="en-US" w:bidi="ar-SA"/>
      </w:rPr>
    </w:lvl>
    <w:lvl w:ilvl="5">
      <w:numFmt w:val="bullet"/>
      <w:lvlText w:val="•"/>
      <w:lvlJc w:val="left"/>
      <w:pPr>
        <w:ind w:left="5044" w:hanging="852"/>
      </w:pPr>
      <w:rPr>
        <w:rFonts w:hint="default"/>
        <w:lang w:val="en-US" w:eastAsia="en-US" w:bidi="ar-SA"/>
      </w:rPr>
    </w:lvl>
    <w:lvl w:ilvl="6">
      <w:numFmt w:val="bullet"/>
      <w:lvlText w:val="•"/>
      <w:lvlJc w:val="left"/>
      <w:pPr>
        <w:ind w:left="5881" w:hanging="852"/>
      </w:pPr>
      <w:rPr>
        <w:rFonts w:hint="default"/>
        <w:lang w:val="en-US" w:eastAsia="en-US" w:bidi="ar-SA"/>
      </w:rPr>
    </w:lvl>
    <w:lvl w:ilvl="7">
      <w:numFmt w:val="bullet"/>
      <w:lvlText w:val="•"/>
      <w:lvlJc w:val="left"/>
      <w:pPr>
        <w:ind w:left="6719" w:hanging="852"/>
      </w:pPr>
      <w:rPr>
        <w:rFonts w:hint="default"/>
        <w:lang w:val="en-US" w:eastAsia="en-US" w:bidi="ar-SA"/>
      </w:rPr>
    </w:lvl>
    <w:lvl w:ilvl="8">
      <w:numFmt w:val="bullet"/>
      <w:lvlText w:val="•"/>
      <w:lvlJc w:val="left"/>
      <w:pPr>
        <w:ind w:left="7557" w:hanging="852"/>
      </w:pPr>
      <w:rPr>
        <w:rFonts w:hint="default"/>
        <w:lang w:val="en-US" w:eastAsia="en-US" w:bidi="ar-SA"/>
      </w:rPr>
    </w:lvl>
  </w:abstractNum>
  <w:abstractNum w:abstractNumId="1">
    <w:nsid w:val="0C414DA6"/>
    <w:multiLevelType w:val="multilevel"/>
    <w:tmpl w:val="0C414DA6"/>
    <w:lvl w:ilvl="0">
      <w:start w:val="1"/>
      <w:numFmt w:val="lowerRoman"/>
      <w:lvlText w:val="%1."/>
      <w:lvlJc w:val="left"/>
      <w:pPr>
        <w:ind w:left="1605" w:hanging="471"/>
        <w:jc w:val="right"/>
      </w:pPr>
      <w:rPr>
        <w:rFonts w:ascii="Times New Roman" w:eastAsia="Arial MT" w:hAnsi="Times New Roman" w:cs="Times New Roman" w:hint="default"/>
        <w:b w:val="0"/>
        <w:bCs w:val="0"/>
        <w:i w:val="0"/>
        <w:iCs w:val="0"/>
        <w:spacing w:val="-2"/>
        <w:w w:val="100"/>
        <w:sz w:val="22"/>
        <w:szCs w:val="22"/>
        <w:lang w:val="en-US" w:eastAsia="en-US" w:bidi="ar-SA"/>
      </w:rPr>
    </w:lvl>
    <w:lvl w:ilvl="1">
      <w:start w:val="1"/>
      <w:numFmt w:val="lowerLetter"/>
      <w:lvlText w:val="(%2)"/>
      <w:lvlJc w:val="left"/>
      <w:pPr>
        <w:ind w:left="2325" w:hanging="720"/>
      </w:pPr>
      <w:rPr>
        <w:rFonts w:ascii="Times New Roman" w:eastAsia="Arial MT" w:hAnsi="Times New Roman" w:cs="Times New Roman" w:hint="default"/>
        <w:b w:val="0"/>
        <w:bCs w:val="0"/>
        <w:i w:val="0"/>
        <w:iCs w:val="0"/>
        <w:spacing w:val="0"/>
        <w:w w:val="100"/>
        <w:sz w:val="22"/>
        <w:szCs w:val="22"/>
        <w:lang w:val="en-US" w:eastAsia="en-US" w:bidi="ar-SA"/>
      </w:rPr>
    </w:lvl>
    <w:lvl w:ilvl="2">
      <w:numFmt w:val="bullet"/>
      <w:lvlText w:val="•"/>
      <w:lvlJc w:val="left"/>
      <w:pPr>
        <w:ind w:left="3101" w:hanging="720"/>
      </w:pPr>
      <w:rPr>
        <w:rFonts w:hint="default"/>
        <w:lang w:val="en-US" w:eastAsia="en-US" w:bidi="ar-SA"/>
      </w:rPr>
    </w:lvl>
    <w:lvl w:ilvl="3">
      <w:numFmt w:val="bullet"/>
      <w:lvlText w:val="•"/>
      <w:lvlJc w:val="left"/>
      <w:pPr>
        <w:ind w:left="3883" w:hanging="720"/>
      </w:pPr>
      <w:rPr>
        <w:rFonts w:hint="default"/>
        <w:lang w:val="en-US" w:eastAsia="en-US" w:bidi="ar-SA"/>
      </w:rPr>
    </w:lvl>
    <w:lvl w:ilvl="4">
      <w:numFmt w:val="bullet"/>
      <w:lvlText w:val="•"/>
      <w:lvlJc w:val="left"/>
      <w:pPr>
        <w:ind w:left="4665" w:hanging="720"/>
      </w:pPr>
      <w:rPr>
        <w:rFonts w:hint="default"/>
        <w:lang w:val="en-US" w:eastAsia="en-US" w:bidi="ar-SA"/>
      </w:rPr>
    </w:lvl>
    <w:lvl w:ilvl="5">
      <w:numFmt w:val="bullet"/>
      <w:lvlText w:val="•"/>
      <w:lvlJc w:val="left"/>
      <w:pPr>
        <w:ind w:left="5447" w:hanging="720"/>
      </w:pPr>
      <w:rPr>
        <w:rFonts w:hint="default"/>
        <w:lang w:val="en-US" w:eastAsia="en-US" w:bidi="ar-SA"/>
      </w:rPr>
    </w:lvl>
    <w:lvl w:ilvl="6">
      <w:numFmt w:val="bullet"/>
      <w:lvlText w:val="•"/>
      <w:lvlJc w:val="left"/>
      <w:pPr>
        <w:ind w:left="6229" w:hanging="720"/>
      </w:pPr>
      <w:rPr>
        <w:rFonts w:hint="default"/>
        <w:lang w:val="en-US" w:eastAsia="en-US" w:bidi="ar-SA"/>
      </w:rPr>
    </w:lvl>
    <w:lvl w:ilvl="7">
      <w:numFmt w:val="bullet"/>
      <w:lvlText w:val="•"/>
      <w:lvlJc w:val="left"/>
      <w:pPr>
        <w:ind w:left="7010" w:hanging="720"/>
      </w:pPr>
      <w:rPr>
        <w:rFonts w:hint="default"/>
        <w:lang w:val="en-US" w:eastAsia="en-US" w:bidi="ar-SA"/>
      </w:rPr>
    </w:lvl>
    <w:lvl w:ilvl="8">
      <w:numFmt w:val="bullet"/>
      <w:lvlText w:val="•"/>
      <w:lvlJc w:val="left"/>
      <w:pPr>
        <w:ind w:left="7792" w:hanging="720"/>
      </w:pPr>
      <w:rPr>
        <w:rFonts w:hint="default"/>
        <w:lang w:val="en-US" w:eastAsia="en-US" w:bidi="ar-SA"/>
      </w:rPr>
    </w:lvl>
  </w:abstractNum>
  <w:abstractNum w:abstractNumId="2">
    <w:nsid w:val="22887E81"/>
    <w:multiLevelType w:val="multilevel"/>
    <w:tmpl w:val="22887E8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B33C6A"/>
    <w:multiLevelType w:val="multilevel"/>
    <w:tmpl w:val="2BB33C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D166F75"/>
    <w:multiLevelType w:val="multilevel"/>
    <w:tmpl w:val="2D166F75"/>
    <w:lvl w:ilvl="0">
      <w:start w:val="1"/>
      <w:numFmt w:val="upperRoman"/>
      <w:lvlText w:val="%1."/>
      <w:lvlJc w:val="right"/>
      <w:pPr>
        <w:ind w:left="720" w:hanging="360"/>
      </w:pPr>
    </w:lvl>
    <w:lvl w:ilvl="1">
      <w:start w:val="1"/>
      <w:numFmt w:val="lowerRoman"/>
      <w:lvlText w:val="%2."/>
      <w:lvlJc w:val="left"/>
      <w:pPr>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8153F94"/>
    <w:multiLevelType w:val="multilevel"/>
    <w:tmpl w:val="38153F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F845A3B"/>
    <w:multiLevelType w:val="multilevel"/>
    <w:tmpl w:val="3F845A3B"/>
    <w:lvl w:ilvl="0">
      <w:start w:val="1"/>
      <w:numFmt w:val="lowerRoman"/>
      <w:lvlText w:val="%1."/>
      <w:lvlJc w:val="left"/>
      <w:pPr>
        <w:ind w:left="1605" w:hanging="470"/>
        <w:jc w:val="right"/>
      </w:pPr>
      <w:rPr>
        <w:rFonts w:ascii="Times New Roman" w:eastAsia="Arial MT" w:hAnsi="Times New Roman" w:cs="Times New Roman" w:hint="default"/>
        <w:b w:val="0"/>
        <w:bCs w:val="0"/>
        <w:i w:val="0"/>
        <w:iCs w:val="0"/>
        <w:spacing w:val="-1"/>
        <w:w w:val="100"/>
        <w:sz w:val="22"/>
        <w:szCs w:val="22"/>
        <w:lang w:val="en-US" w:eastAsia="en-US" w:bidi="ar-SA"/>
      </w:rPr>
    </w:lvl>
    <w:lvl w:ilvl="1">
      <w:start w:val="1"/>
      <w:numFmt w:val="lowerLetter"/>
      <w:lvlText w:val="(%2)"/>
      <w:lvlJc w:val="left"/>
      <w:pPr>
        <w:ind w:left="2325" w:hanging="720"/>
      </w:pPr>
      <w:rPr>
        <w:rFonts w:ascii="Times New Roman" w:eastAsia="Arial MT" w:hAnsi="Times New Roman" w:cs="Times New Roman" w:hint="default"/>
        <w:b w:val="0"/>
        <w:bCs w:val="0"/>
        <w:i w:val="0"/>
        <w:iCs w:val="0"/>
        <w:spacing w:val="0"/>
        <w:w w:val="100"/>
        <w:sz w:val="22"/>
        <w:szCs w:val="22"/>
        <w:lang w:val="en-US" w:eastAsia="en-US" w:bidi="ar-SA"/>
      </w:rPr>
    </w:lvl>
    <w:lvl w:ilvl="2">
      <w:numFmt w:val="bullet"/>
      <w:lvlText w:val="•"/>
      <w:lvlJc w:val="left"/>
      <w:pPr>
        <w:ind w:left="3101" w:hanging="720"/>
      </w:pPr>
      <w:rPr>
        <w:rFonts w:hint="default"/>
        <w:lang w:val="en-US" w:eastAsia="en-US" w:bidi="ar-SA"/>
      </w:rPr>
    </w:lvl>
    <w:lvl w:ilvl="3">
      <w:numFmt w:val="bullet"/>
      <w:lvlText w:val="•"/>
      <w:lvlJc w:val="left"/>
      <w:pPr>
        <w:ind w:left="3883" w:hanging="720"/>
      </w:pPr>
      <w:rPr>
        <w:rFonts w:hint="default"/>
        <w:lang w:val="en-US" w:eastAsia="en-US" w:bidi="ar-SA"/>
      </w:rPr>
    </w:lvl>
    <w:lvl w:ilvl="4">
      <w:numFmt w:val="bullet"/>
      <w:lvlText w:val="•"/>
      <w:lvlJc w:val="left"/>
      <w:pPr>
        <w:ind w:left="4665" w:hanging="720"/>
      </w:pPr>
      <w:rPr>
        <w:rFonts w:hint="default"/>
        <w:lang w:val="en-US" w:eastAsia="en-US" w:bidi="ar-SA"/>
      </w:rPr>
    </w:lvl>
    <w:lvl w:ilvl="5">
      <w:numFmt w:val="bullet"/>
      <w:lvlText w:val="•"/>
      <w:lvlJc w:val="left"/>
      <w:pPr>
        <w:ind w:left="5447" w:hanging="720"/>
      </w:pPr>
      <w:rPr>
        <w:rFonts w:hint="default"/>
        <w:lang w:val="en-US" w:eastAsia="en-US" w:bidi="ar-SA"/>
      </w:rPr>
    </w:lvl>
    <w:lvl w:ilvl="6">
      <w:numFmt w:val="bullet"/>
      <w:lvlText w:val="•"/>
      <w:lvlJc w:val="left"/>
      <w:pPr>
        <w:ind w:left="6229" w:hanging="720"/>
      </w:pPr>
      <w:rPr>
        <w:rFonts w:hint="default"/>
        <w:lang w:val="en-US" w:eastAsia="en-US" w:bidi="ar-SA"/>
      </w:rPr>
    </w:lvl>
    <w:lvl w:ilvl="7">
      <w:numFmt w:val="bullet"/>
      <w:lvlText w:val="•"/>
      <w:lvlJc w:val="left"/>
      <w:pPr>
        <w:ind w:left="7010" w:hanging="720"/>
      </w:pPr>
      <w:rPr>
        <w:rFonts w:hint="default"/>
        <w:lang w:val="en-US" w:eastAsia="en-US" w:bidi="ar-SA"/>
      </w:rPr>
    </w:lvl>
    <w:lvl w:ilvl="8">
      <w:numFmt w:val="bullet"/>
      <w:lvlText w:val="•"/>
      <w:lvlJc w:val="left"/>
      <w:pPr>
        <w:ind w:left="7792" w:hanging="720"/>
      </w:pPr>
      <w:rPr>
        <w:rFonts w:hint="default"/>
        <w:lang w:val="en-US" w:eastAsia="en-US" w:bidi="ar-SA"/>
      </w:rPr>
    </w:lvl>
  </w:abstractNum>
  <w:abstractNum w:abstractNumId="7">
    <w:nsid w:val="41B175D2"/>
    <w:multiLevelType w:val="multilevel"/>
    <w:tmpl w:val="41B175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225457B"/>
    <w:multiLevelType w:val="multilevel"/>
    <w:tmpl w:val="4225457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60165E6"/>
    <w:multiLevelType w:val="multilevel"/>
    <w:tmpl w:val="460165E6"/>
    <w:lvl w:ilvl="0">
      <w:start w:val="1"/>
      <w:numFmt w:val="lowerRoman"/>
      <w:lvlText w:val="%1."/>
      <w:lvlJc w:val="left"/>
      <w:pPr>
        <w:ind w:left="380" w:hanging="380"/>
        <w:jc w:val="right"/>
      </w:pPr>
      <w:rPr>
        <w:rFonts w:ascii="Times New Roman" w:eastAsia="Arial MT" w:hAnsi="Times New Roman" w:cs="Times New Roman" w:hint="default"/>
        <w:b w:val="0"/>
        <w:bCs w:val="0"/>
        <w:i w:val="0"/>
        <w:iCs w:val="0"/>
        <w:spacing w:val="-2"/>
        <w:w w:val="100"/>
        <w:sz w:val="22"/>
        <w:szCs w:val="22"/>
        <w:lang w:val="en-US" w:eastAsia="en-US" w:bidi="ar-SA"/>
      </w:rPr>
    </w:lvl>
    <w:lvl w:ilvl="1">
      <w:start w:val="1"/>
      <w:numFmt w:val="lowerLetter"/>
      <w:lvlText w:val="(%2)"/>
      <w:lvlJc w:val="left"/>
      <w:pPr>
        <w:ind w:left="2236" w:hanging="540"/>
      </w:pPr>
      <w:rPr>
        <w:rFonts w:ascii="Times New Roman" w:eastAsia="Arial MT" w:hAnsi="Times New Roman" w:cs="Times New Roman" w:hint="default"/>
        <w:b w:val="0"/>
        <w:bCs w:val="0"/>
        <w:i w:val="0"/>
        <w:iCs w:val="0"/>
        <w:spacing w:val="0"/>
        <w:w w:val="100"/>
        <w:sz w:val="22"/>
        <w:szCs w:val="22"/>
        <w:lang w:val="en-US" w:eastAsia="en-US" w:bidi="ar-SA"/>
      </w:rPr>
    </w:lvl>
    <w:lvl w:ilvl="2">
      <w:numFmt w:val="bullet"/>
      <w:lvlText w:val="•"/>
      <w:lvlJc w:val="left"/>
      <w:pPr>
        <w:ind w:left="3030" w:hanging="540"/>
      </w:pPr>
      <w:rPr>
        <w:rFonts w:hint="default"/>
        <w:lang w:val="en-US" w:eastAsia="en-US" w:bidi="ar-SA"/>
      </w:rPr>
    </w:lvl>
    <w:lvl w:ilvl="3">
      <w:numFmt w:val="bullet"/>
      <w:lvlText w:val="•"/>
      <w:lvlJc w:val="left"/>
      <w:pPr>
        <w:ind w:left="3821" w:hanging="540"/>
      </w:pPr>
      <w:rPr>
        <w:rFonts w:hint="default"/>
        <w:lang w:val="en-US" w:eastAsia="en-US" w:bidi="ar-SA"/>
      </w:rPr>
    </w:lvl>
    <w:lvl w:ilvl="4">
      <w:numFmt w:val="bullet"/>
      <w:lvlText w:val="•"/>
      <w:lvlJc w:val="left"/>
      <w:pPr>
        <w:ind w:left="4612" w:hanging="540"/>
      </w:pPr>
      <w:rPr>
        <w:rFonts w:hint="default"/>
        <w:lang w:val="en-US" w:eastAsia="en-US" w:bidi="ar-SA"/>
      </w:rPr>
    </w:lvl>
    <w:lvl w:ilvl="5">
      <w:numFmt w:val="bullet"/>
      <w:lvlText w:val="•"/>
      <w:lvlJc w:val="left"/>
      <w:pPr>
        <w:ind w:left="5402" w:hanging="540"/>
      </w:pPr>
      <w:rPr>
        <w:rFonts w:hint="default"/>
        <w:lang w:val="en-US" w:eastAsia="en-US" w:bidi="ar-SA"/>
      </w:rPr>
    </w:lvl>
    <w:lvl w:ilvl="6">
      <w:numFmt w:val="bullet"/>
      <w:lvlText w:val="•"/>
      <w:lvlJc w:val="left"/>
      <w:pPr>
        <w:ind w:left="6193" w:hanging="540"/>
      </w:pPr>
      <w:rPr>
        <w:rFonts w:hint="default"/>
        <w:lang w:val="en-US" w:eastAsia="en-US" w:bidi="ar-SA"/>
      </w:rPr>
    </w:lvl>
    <w:lvl w:ilvl="7">
      <w:numFmt w:val="bullet"/>
      <w:lvlText w:val="•"/>
      <w:lvlJc w:val="left"/>
      <w:pPr>
        <w:ind w:left="6984" w:hanging="540"/>
      </w:pPr>
      <w:rPr>
        <w:rFonts w:hint="default"/>
        <w:lang w:val="en-US" w:eastAsia="en-US" w:bidi="ar-SA"/>
      </w:rPr>
    </w:lvl>
    <w:lvl w:ilvl="8">
      <w:numFmt w:val="bullet"/>
      <w:lvlText w:val="•"/>
      <w:lvlJc w:val="left"/>
      <w:pPr>
        <w:ind w:left="7774" w:hanging="540"/>
      </w:pPr>
      <w:rPr>
        <w:rFonts w:hint="default"/>
        <w:lang w:val="en-US" w:eastAsia="en-US" w:bidi="ar-SA"/>
      </w:rPr>
    </w:lvl>
  </w:abstractNum>
  <w:abstractNum w:abstractNumId="10">
    <w:nsid w:val="48994CAA"/>
    <w:multiLevelType w:val="multilevel"/>
    <w:tmpl w:val="48994CAA"/>
    <w:lvl w:ilvl="0">
      <w:start w:val="1"/>
      <w:numFmt w:val="upperRoman"/>
      <w:lvlText w:val="%1."/>
      <w:lvlJc w:val="right"/>
      <w:pPr>
        <w:ind w:left="720" w:hanging="360"/>
      </w:p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9370FFA"/>
    <w:multiLevelType w:val="multilevel"/>
    <w:tmpl w:val="49370F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F0C41D5"/>
    <w:multiLevelType w:val="multilevel"/>
    <w:tmpl w:val="4F0C41D5"/>
    <w:lvl w:ilvl="0">
      <w:start w:val="1"/>
      <w:numFmt w:val="lowerRoman"/>
      <w:lvlText w:val="%1."/>
      <w:lvlJc w:val="left"/>
      <w:pPr>
        <w:ind w:left="380" w:hanging="380"/>
        <w:jc w:val="right"/>
      </w:pPr>
      <w:rPr>
        <w:rFonts w:ascii="Times New Roman" w:eastAsia="Arial MT" w:hAnsi="Times New Roman" w:cs="Times New Roman" w:hint="default"/>
        <w:b w:val="0"/>
        <w:bCs w:val="0"/>
        <w:i w:val="0"/>
        <w:iCs w:val="0"/>
        <w:spacing w:val="-2"/>
        <w:w w:val="100"/>
        <w:sz w:val="22"/>
        <w:szCs w:val="22"/>
        <w:lang w:val="en-US" w:eastAsia="en-US" w:bidi="ar-SA"/>
      </w:rPr>
    </w:lvl>
    <w:lvl w:ilvl="1">
      <w:numFmt w:val="bullet"/>
      <w:lvlText w:val="•"/>
      <w:lvlJc w:val="left"/>
      <w:pPr>
        <w:ind w:left="1150" w:hanging="380"/>
      </w:pPr>
      <w:rPr>
        <w:rFonts w:hint="default"/>
        <w:lang w:val="en-US" w:eastAsia="en-US" w:bidi="ar-SA"/>
      </w:rPr>
    </w:lvl>
    <w:lvl w:ilvl="2">
      <w:numFmt w:val="bullet"/>
      <w:lvlText w:val="•"/>
      <w:lvlJc w:val="left"/>
      <w:pPr>
        <w:ind w:left="1926" w:hanging="380"/>
      </w:pPr>
      <w:rPr>
        <w:rFonts w:hint="default"/>
        <w:lang w:val="en-US" w:eastAsia="en-US" w:bidi="ar-SA"/>
      </w:rPr>
    </w:lvl>
    <w:lvl w:ilvl="3">
      <w:numFmt w:val="bullet"/>
      <w:lvlText w:val="•"/>
      <w:lvlJc w:val="left"/>
      <w:pPr>
        <w:ind w:left="2701" w:hanging="380"/>
      </w:pPr>
      <w:rPr>
        <w:rFonts w:hint="default"/>
        <w:lang w:val="en-US" w:eastAsia="en-US" w:bidi="ar-SA"/>
      </w:rPr>
    </w:lvl>
    <w:lvl w:ilvl="4">
      <w:numFmt w:val="bullet"/>
      <w:lvlText w:val="•"/>
      <w:lvlJc w:val="left"/>
      <w:pPr>
        <w:ind w:left="3477" w:hanging="380"/>
      </w:pPr>
      <w:rPr>
        <w:rFonts w:hint="default"/>
        <w:lang w:val="en-US" w:eastAsia="en-US" w:bidi="ar-SA"/>
      </w:rPr>
    </w:lvl>
    <w:lvl w:ilvl="5">
      <w:numFmt w:val="bullet"/>
      <w:lvlText w:val="•"/>
      <w:lvlJc w:val="left"/>
      <w:pPr>
        <w:ind w:left="4253" w:hanging="380"/>
      </w:pPr>
      <w:rPr>
        <w:rFonts w:hint="default"/>
        <w:lang w:val="en-US" w:eastAsia="en-US" w:bidi="ar-SA"/>
      </w:rPr>
    </w:lvl>
    <w:lvl w:ilvl="6">
      <w:numFmt w:val="bullet"/>
      <w:lvlText w:val="•"/>
      <w:lvlJc w:val="left"/>
      <w:pPr>
        <w:ind w:left="5028" w:hanging="380"/>
      </w:pPr>
      <w:rPr>
        <w:rFonts w:hint="default"/>
        <w:lang w:val="en-US" w:eastAsia="en-US" w:bidi="ar-SA"/>
      </w:rPr>
    </w:lvl>
    <w:lvl w:ilvl="7">
      <w:numFmt w:val="bullet"/>
      <w:lvlText w:val="•"/>
      <w:lvlJc w:val="left"/>
      <w:pPr>
        <w:ind w:left="5804" w:hanging="380"/>
      </w:pPr>
      <w:rPr>
        <w:rFonts w:hint="default"/>
        <w:lang w:val="en-US" w:eastAsia="en-US" w:bidi="ar-SA"/>
      </w:rPr>
    </w:lvl>
    <w:lvl w:ilvl="8">
      <w:numFmt w:val="bullet"/>
      <w:lvlText w:val="•"/>
      <w:lvlJc w:val="left"/>
      <w:pPr>
        <w:ind w:left="6580" w:hanging="380"/>
      </w:pPr>
      <w:rPr>
        <w:rFonts w:hint="default"/>
        <w:lang w:val="en-US" w:eastAsia="en-US" w:bidi="ar-SA"/>
      </w:rPr>
    </w:lvl>
  </w:abstractNum>
  <w:abstractNum w:abstractNumId="13">
    <w:nsid w:val="55654108"/>
    <w:multiLevelType w:val="multilevel"/>
    <w:tmpl w:val="55654108"/>
    <w:lvl w:ilvl="0">
      <w:start w:val="1"/>
      <w:numFmt w:val="lowerRoman"/>
      <w:lvlText w:val="%1)"/>
      <w:lvlJc w:val="left"/>
      <w:pPr>
        <w:tabs>
          <w:tab w:val="left" w:pos="720"/>
        </w:tabs>
        <w:ind w:left="720" w:hanging="360"/>
      </w:pPr>
      <w:rPr>
        <w:rFonts w:ascii="Calibri" w:hAnsi="Calibri" w:cs="Calibri" w:hint="default"/>
        <w:b w:val="0"/>
        <w:i w:val="0"/>
        <w:caps w:val="0"/>
        <w:sz w:val="24"/>
        <w:szCs w:val="24"/>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4">
    <w:nsid w:val="599033D8"/>
    <w:multiLevelType w:val="multilevel"/>
    <w:tmpl w:val="599033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A2A4E1D"/>
    <w:multiLevelType w:val="multilevel"/>
    <w:tmpl w:val="5A2A4E1D"/>
    <w:lvl w:ilvl="0">
      <w:start w:val="1"/>
      <w:numFmt w:val="lowerRoman"/>
      <w:lvlText w:val="%1."/>
      <w:lvlJc w:val="left"/>
      <w:pPr>
        <w:ind w:left="1605" w:hanging="380"/>
        <w:jc w:val="right"/>
      </w:pPr>
      <w:rPr>
        <w:rFonts w:ascii="Times New Roman" w:eastAsia="Arial MT" w:hAnsi="Times New Roman" w:cs="Times New Roman" w:hint="default"/>
        <w:b w:val="0"/>
        <w:bCs w:val="0"/>
        <w:i w:val="0"/>
        <w:iCs w:val="0"/>
        <w:spacing w:val="-2"/>
        <w:w w:val="100"/>
        <w:sz w:val="22"/>
        <w:szCs w:val="22"/>
        <w:lang w:val="en-US" w:eastAsia="en-US" w:bidi="ar-SA"/>
      </w:rPr>
    </w:lvl>
    <w:lvl w:ilvl="1">
      <w:numFmt w:val="bullet"/>
      <w:lvlText w:val="•"/>
      <w:lvlJc w:val="left"/>
      <w:pPr>
        <w:ind w:left="2375" w:hanging="380"/>
      </w:pPr>
      <w:rPr>
        <w:rFonts w:hint="default"/>
        <w:lang w:val="en-US" w:eastAsia="en-US" w:bidi="ar-SA"/>
      </w:rPr>
    </w:lvl>
    <w:lvl w:ilvl="2">
      <w:numFmt w:val="bullet"/>
      <w:lvlText w:val="•"/>
      <w:lvlJc w:val="left"/>
      <w:pPr>
        <w:ind w:left="3151" w:hanging="380"/>
      </w:pPr>
      <w:rPr>
        <w:rFonts w:hint="default"/>
        <w:lang w:val="en-US" w:eastAsia="en-US" w:bidi="ar-SA"/>
      </w:rPr>
    </w:lvl>
    <w:lvl w:ilvl="3">
      <w:numFmt w:val="bullet"/>
      <w:lvlText w:val="•"/>
      <w:lvlJc w:val="left"/>
      <w:pPr>
        <w:ind w:left="3926" w:hanging="380"/>
      </w:pPr>
      <w:rPr>
        <w:rFonts w:hint="default"/>
        <w:lang w:val="en-US" w:eastAsia="en-US" w:bidi="ar-SA"/>
      </w:rPr>
    </w:lvl>
    <w:lvl w:ilvl="4">
      <w:numFmt w:val="bullet"/>
      <w:lvlText w:val="•"/>
      <w:lvlJc w:val="left"/>
      <w:pPr>
        <w:ind w:left="4702" w:hanging="380"/>
      </w:pPr>
      <w:rPr>
        <w:rFonts w:hint="default"/>
        <w:lang w:val="en-US" w:eastAsia="en-US" w:bidi="ar-SA"/>
      </w:rPr>
    </w:lvl>
    <w:lvl w:ilvl="5">
      <w:numFmt w:val="bullet"/>
      <w:lvlText w:val="•"/>
      <w:lvlJc w:val="left"/>
      <w:pPr>
        <w:ind w:left="5478" w:hanging="380"/>
      </w:pPr>
      <w:rPr>
        <w:rFonts w:hint="default"/>
        <w:lang w:val="en-US" w:eastAsia="en-US" w:bidi="ar-SA"/>
      </w:rPr>
    </w:lvl>
    <w:lvl w:ilvl="6">
      <w:numFmt w:val="bullet"/>
      <w:lvlText w:val="•"/>
      <w:lvlJc w:val="left"/>
      <w:pPr>
        <w:ind w:left="6253" w:hanging="380"/>
      </w:pPr>
      <w:rPr>
        <w:rFonts w:hint="default"/>
        <w:lang w:val="en-US" w:eastAsia="en-US" w:bidi="ar-SA"/>
      </w:rPr>
    </w:lvl>
    <w:lvl w:ilvl="7">
      <w:numFmt w:val="bullet"/>
      <w:lvlText w:val="•"/>
      <w:lvlJc w:val="left"/>
      <w:pPr>
        <w:ind w:left="7029" w:hanging="380"/>
      </w:pPr>
      <w:rPr>
        <w:rFonts w:hint="default"/>
        <w:lang w:val="en-US" w:eastAsia="en-US" w:bidi="ar-SA"/>
      </w:rPr>
    </w:lvl>
    <w:lvl w:ilvl="8">
      <w:numFmt w:val="bullet"/>
      <w:lvlText w:val="•"/>
      <w:lvlJc w:val="left"/>
      <w:pPr>
        <w:ind w:left="7805" w:hanging="380"/>
      </w:pPr>
      <w:rPr>
        <w:rFonts w:hint="default"/>
        <w:lang w:val="en-US" w:eastAsia="en-US" w:bidi="ar-SA"/>
      </w:rPr>
    </w:lvl>
  </w:abstractNum>
  <w:abstractNum w:abstractNumId="16">
    <w:nsid w:val="5D751E56"/>
    <w:multiLevelType w:val="multilevel"/>
    <w:tmpl w:val="5D751E56"/>
    <w:lvl w:ilvl="0">
      <w:start w:val="1"/>
      <w:numFmt w:val="lowerRoman"/>
      <w:lvlText w:val="%1."/>
      <w:lvlJc w:val="left"/>
      <w:pPr>
        <w:ind w:left="1605" w:hanging="470"/>
        <w:jc w:val="right"/>
      </w:pPr>
      <w:rPr>
        <w:rFonts w:ascii="Times New Roman" w:eastAsia="Arial MT" w:hAnsi="Times New Roman" w:cs="Times New Roman" w:hint="default"/>
        <w:b w:val="0"/>
        <w:bCs w:val="0"/>
        <w:i w:val="0"/>
        <w:iCs w:val="0"/>
        <w:spacing w:val="-1"/>
        <w:w w:val="100"/>
        <w:sz w:val="22"/>
        <w:szCs w:val="22"/>
        <w:lang w:val="en-US" w:eastAsia="en-US" w:bidi="ar-SA"/>
      </w:rPr>
    </w:lvl>
    <w:lvl w:ilvl="1">
      <w:start w:val="1"/>
      <w:numFmt w:val="lowerLetter"/>
      <w:lvlText w:val="(%2)"/>
      <w:lvlJc w:val="left"/>
      <w:pPr>
        <w:ind w:left="2325" w:hanging="720"/>
      </w:pPr>
      <w:rPr>
        <w:rFonts w:ascii="Times New Roman" w:eastAsia="Arial MT" w:hAnsi="Times New Roman" w:cs="Times New Roman" w:hint="default"/>
        <w:b w:val="0"/>
        <w:bCs w:val="0"/>
        <w:i w:val="0"/>
        <w:iCs w:val="0"/>
        <w:spacing w:val="0"/>
        <w:w w:val="100"/>
        <w:sz w:val="22"/>
        <w:szCs w:val="22"/>
        <w:lang w:val="en-US" w:eastAsia="en-US" w:bidi="ar-SA"/>
      </w:rPr>
    </w:lvl>
    <w:lvl w:ilvl="2">
      <w:numFmt w:val="bullet"/>
      <w:lvlText w:val="•"/>
      <w:lvlJc w:val="left"/>
      <w:pPr>
        <w:ind w:left="3101" w:hanging="720"/>
      </w:pPr>
      <w:rPr>
        <w:rFonts w:hint="default"/>
        <w:lang w:val="en-US" w:eastAsia="en-US" w:bidi="ar-SA"/>
      </w:rPr>
    </w:lvl>
    <w:lvl w:ilvl="3">
      <w:numFmt w:val="bullet"/>
      <w:lvlText w:val="•"/>
      <w:lvlJc w:val="left"/>
      <w:pPr>
        <w:ind w:left="3883" w:hanging="720"/>
      </w:pPr>
      <w:rPr>
        <w:rFonts w:hint="default"/>
        <w:lang w:val="en-US" w:eastAsia="en-US" w:bidi="ar-SA"/>
      </w:rPr>
    </w:lvl>
    <w:lvl w:ilvl="4">
      <w:numFmt w:val="bullet"/>
      <w:lvlText w:val="•"/>
      <w:lvlJc w:val="left"/>
      <w:pPr>
        <w:ind w:left="4665" w:hanging="720"/>
      </w:pPr>
      <w:rPr>
        <w:rFonts w:hint="default"/>
        <w:lang w:val="en-US" w:eastAsia="en-US" w:bidi="ar-SA"/>
      </w:rPr>
    </w:lvl>
    <w:lvl w:ilvl="5">
      <w:numFmt w:val="bullet"/>
      <w:lvlText w:val="•"/>
      <w:lvlJc w:val="left"/>
      <w:pPr>
        <w:ind w:left="5447" w:hanging="720"/>
      </w:pPr>
      <w:rPr>
        <w:rFonts w:hint="default"/>
        <w:lang w:val="en-US" w:eastAsia="en-US" w:bidi="ar-SA"/>
      </w:rPr>
    </w:lvl>
    <w:lvl w:ilvl="6">
      <w:numFmt w:val="bullet"/>
      <w:lvlText w:val="•"/>
      <w:lvlJc w:val="left"/>
      <w:pPr>
        <w:ind w:left="6229" w:hanging="720"/>
      </w:pPr>
      <w:rPr>
        <w:rFonts w:hint="default"/>
        <w:lang w:val="en-US" w:eastAsia="en-US" w:bidi="ar-SA"/>
      </w:rPr>
    </w:lvl>
    <w:lvl w:ilvl="7">
      <w:numFmt w:val="bullet"/>
      <w:lvlText w:val="•"/>
      <w:lvlJc w:val="left"/>
      <w:pPr>
        <w:ind w:left="7010" w:hanging="720"/>
      </w:pPr>
      <w:rPr>
        <w:rFonts w:hint="default"/>
        <w:lang w:val="en-US" w:eastAsia="en-US" w:bidi="ar-SA"/>
      </w:rPr>
    </w:lvl>
    <w:lvl w:ilvl="8">
      <w:numFmt w:val="bullet"/>
      <w:lvlText w:val="•"/>
      <w:lvlJc w:val="left"/>
      <w:pPr>
        <w:ind w:left="7792" w:hanging="720"/>
      </w:pPr>
      <w:rPr>
        <w:rFonts w:hint="default"/>
        <w:lang w:val="en-US" w:eastAsia="en-US" w:bidi="ar-SA"/>
      </w:rPr>
    </w:lvl>
  </w:abstractNum>
  <w:abstractNum w:abstractNumId="17">
    <w:nsid w:val="62F2318F"/>
    <w:multiLevelType w:val="multilevel"/>
    <w:tmpl w:val="62F2318F"/>
    <w:lvl w:ilvl="0">
      <w:start w:val="1"/>
      <w:numFmt w:val="lowerRoman"/>
      <w:lvlText w:val="(%1)"/>
      <w:lvlJc w:val="left"/>
      <w:pPr>
        <w:ind w:left="1867" w:hanging="850"/>
      </w:pPr>
      <w:rPr>
        <w:rFonts w:ascii="Times New Roman" w:eastAsia="Arial MT" w:hAnsi="Times New Roman" w:cs="Times New Roman" w:hint="default"/>
        <w:b w:val="0"/>
        <w:bCs w:val="0"/>
        <w:i w:val="0"/>
        <w:iCs w:val="0"/>
        <w:spacing w:val="-2"/>
        <w:w w:val="100"/>
        <w:sz w:val="22"/>
        <w:szCs w:val="22"/>
        <w:lang w:val="en-US" w:eastAsia="en-US" w:bidi="ar-SA"/>
      </w:rPr>
    </w:lvl>
    <w:lvl w:ilvl="1">
      <w:start w:val="1"/>
      <w:numFmt w:val="lowerRoman"/>
      <w:lvlText w:val="%2."/>
      <w:lvlJc w:val="left"/>
      <w:pPr>
        <w:ind w:left="1605" w:hanging="380"/>
      </w:pPr>
      <w:rPr>
        <w:rFonts w:ascii="Arial MT" w:eastAsia="Arial MT" w:hAnsi="Arial MT" w:cs="Arial MT" w:hint="default"/>
        <w:b w:val="0"/>
        <w:bCs w:val="0"/>
        <w:i w:val="0"/>
        <w:iCs w:val="0"/>
        <w:spacing w:val="-2"/>
        <w:w w:val="100"/>
        <w:sz w:val="22"/>
        <w:szCs w:val="22"/>
        <w:lang w:val="en-US" w:eastAsia="en-US" w:bidi="ar-SA"/>
      </w:rPr>
    </w:lvl>
    <w:lvl w:ilvl="2">
      <w:numFmt w:val="bullet"/>
      <w:lvlText w:val="•"/>
      <w:lvlJc w:val="left"/>
      <w:pPr>
        <w:ind w:left="2692" w:hanging="380"/>
      </w:pPr>
      <w:rPr>
        <w:rFonts w:hint="default"/>
        <w:lang w:val="en-US" w:eastAsia="en-US" w:bidi="ar-SA"/>
      </w:rPr>
    </w:lvl>
    <w:lvl w:ilvl="3">
      <w:numFmt w:val="bullet"/>
      <w:lvlText w:val="•"/>
      <w:lvlJc w:val="left"/>
      <w:pPr>
        <w:ind w:left="3525" w:hanging="380"/>
      </w:pPr>
      <w:rPr>
        <w:rFonts w:hint="default"/>
        <w:lang w:val="en-US" w:eastAsia="en-US" w:bidi="ar-SA"/>
      </w:rPr>
    </w:lvl>
    <w:lvl w:ilvl="4">
      <w:numFmt w:val="bullet"/>
      <w:lvlText w:val="•"/>
      <w:lvlJc w:val="left"/>
      <w:pPr>
        <w:ind w:left="4358" w:hanging="380"/>
      </w:pPr>
      <w:rPr>
        <w:rFonts w:hint="default"/>
        <w:lang w:val="en-US" w:eastAsia="en-US" w:bidi="ar-SA"/>
      </w:rPr>
    </w:lvl>
    <w:lvl w:ilvl="5">
      <w:numFmt w:val="bullet"/>
      <w:lvlText w:val="•"/>
      <w:lvlJc w:val="left"/>
      <w:pPr>
        <w:ind w:left="5191" w:hanging="380"/>
      </w:pPr>
      <w:rPr>
        <w:rFonts w:hint="default"/>
        <w:lang w:val="en-US" w:eastAsia="en-US" w:bidi="ar-SA"/>
      </w:rPr>
    </w:lvl>
    <w:lvl w:ilvl="6">
      <w:numFmt w:val="bullet"/>
      <w:lvlText w:val="•"/>
      <w:lvlJc w:val="left"/>
      <w:pPr>
        <w:ind w:left="6024" w:hanging="380"/>
      </w:pPr>
      <w:rPr>
        <w:rFonts w:hint="default"/>
        <w:lang w:val="en-US" w:eastAsia="en-US" w:bidi="ar-SA"/>
      </w:rPr>
    </w:lvl>
    <w:lvl w:ilvl="7">
      <w:numFmt w:val="bullet"/>
      <w:lvlText w:val="•"/>
      <w:lvlJc w:val="left"/>
      <w:pPr>
        <w:ind w:left="6857" w:hanging="380"/>
      </w:pPr>
      <w:rPr>
        <w:rFonts w:hint="default"/>
        <w:lang w:val="en-US" w:eastAsia="en-US" w:bidi="ar-SA"/>
      </w:rPr>
    </w:lvl>
    <w:lvl w:ilvl="8">
      <w:numFmt w:val="bullet"/>
      <w:lvlText w:val="•"/>
      <w:lvlJc w:val="left"/>
      <w:pPr>
        <w:ind w:left="7690" w:hanging="380"/>
      </w:pPr>
      <w:rPr>
        <w:rFonts w:hint="default"/>
        <w:lang w:val="en-US" w:eastAsia="en-US" w:bidi="ar-SA"/>
      </w:rPr>
    </w:lvl>
  </w:abstractNum>
  <w:abstractNum w:abstractNumId="18">
    <w:nsid w:val="655F41EB"/>
    <w:multiLevelType w:val="multilevel"/>
    <w:tmpl w:val="655F41EB"/>
    <w:lvl w:ilvl="0">
      <w:start w:val="1"/>
      <w:numFmt w:val="lowerRoman"/>
      <w:lvlText w:val="%1."/>
      <w:lvlJc w:val="left"/>
      <w:pPr>
        <w:ind w:left="1605" w:hanging="380"/>
        <w:jc w:val="right"/>
      </w:pPr>
      <w:rPr>
        <w:rFonts w:ascii="Times New Roman" w:eastAsia="Arial MT" w:hAnsi="Times New Roman" w:cs="Times New Roman" w:hint="default"/>
        <w:b w:val="0"/>
        <w:bCs w:val="0"/>
        <w:i w:val="0"/>
        <w:iCs w:val="0"/>
        <w:spacing w:val="-2"/>
        <w:w w:val="100"/>
        <w:sz w:val="22"/>
        <w:szCs w:val="22"/>
        <w:lang w:val="en-US" w:eastAsia="en-US" w:bidi="ar-SA"/>
      </w:rPr>
    </w:lvl>
    <w:lvl w:ilvl="1">
      <w:start w:val="1"/>
      <w:numFmt w:val="lowerLetter"/>
      <w:lvlText w:val="(%2)"/>
      <w:lvlJc w:val="left"/>
      <w:pPr>
        <w:ind w:left="2325" w:hanging="720"/>
      </w:pPr>
      <w:rPr>
        <w:rFonts w:ascii="Times New Roman" w:eastAsia="Arial MT" w:hAnsi="Times New Roman" w:cs="Times New Roman" w:hint="default"/>
        <w:b w:val="0"/>
        <w:bCs w:val="0"/>
        <w:i w:val="0"/>
        <w:iCs w:val="0"/>
        <w:spacing w:val="0"/>
        <w:w w:val="100"/>
        <w:sz w:val="22"/>
        <w:szCs w:val="22"/>
        <w:lang w:val="en-US" w:eastAsia="en-US" w:bidi="ar-SA"/>
      </w:rPr>
    </w:lvl>
    <w:lvl w:ilvl="2">
      <w:numFmt w:val="bullet"/>
      <w:lvlText w:val="•"/>
      <w:lvlJc w:val="left"/>
      <w:pPr>
        <w:ind w:left="3101" w:hanging="720"/>
      </w:pPr>
      <w:rPr>
        <w:rFonts w:hint="default"/>
        <w:lang w:val="en-US" w:eastAsia="en-US" w:bidi="ar-SA"/>
      </w:rPr>
    </w:lvl>
    <w:lvl w:ilvl="3">
      <w:numFmt w:val="bullet"/>
      <w:lvlText w:val="•"/>
      <w:lvlJc w:val="left"/>
      <w:pPr>
        <w:ind w:left="3883" w:hanging="720"/>
      </w:pPr>
      <w:rPr>
        <w:rFonts w:hint="default"/>
        <w:lang w:val="en-US" w:eastAsia="en-US" w:bidi="ar-SA"/>
      </w:rPr>
    </w:lvl>
    <w:lvl w:ilvl="4">
      <w:numFmt w:val="bullet"/>
      <w:lvlText w:val="•"/>
      <w:lvlJc w:val="left"/>
      <w:pPr>
        <w:ind w:left="4665" w:hanging="720"/>
      </w:pPr>
      <w:rPr>
        <w:rFonts w:hint="default"/>
        <w:lang w:val="en-US" w:eastAsia="en-US" w:bidi="ar-SA"/>
      </w:rPr>
    </w:lvl>
    <w:lvl w:ilvl="5">
      <w:numFmt w:val="bullet"/>
      <w:lvlText w:val="•"/>
      <w:lvlJc w:val="left"/>
      <w:pPr>
        <w:ind w:left="5447" w:hanging="720"/>
      </w:pPr>
      <w:rPr>
        <w:rFonts w:hint="default"/>
        <w:lang w:val="en-US" w:eastAsia="en-US" w:bidi="ar-SA"/>
      </w:rPr>
    </w:lvl>
    <w:lvl w:ilvl="6">
      <w:numFmt w:val="bullet"/>
      <w:lvlText w:val="•"/>
      <w:lvlJc w:val="left"/>
      <w:pPr>
        <w:ind w:left="6229" w:hanging="720"/>
      </w:pPr>
      <w:rPr>
        <w:rFonts w:hint="default"/>
        <w:lang w:val="en-US" w:eastAsia="en-US" w:bidi="ar-SA"/>
      </w:rPr>
    </w:lvl>
    <w:lvl w:ilvl="7">
      <w:numFmt w:val="bullet"/>
      <w:lvlText w:val="•"/>
      <w:lvlJc w:val="left"/>
      <w:pPr>
        <w:ind w:left="7010" w:hanging="720"/>
      </w:pPr>
      <w:rPr>
        <w:rFonts w:hint="default"/>
        <w:lang w:val="en-US" w:eastAsia="en-US" w:bidi="ar-SA"/>
      </w:rPr>
    </w:lvl>
    <w:lvl w:ilvl="8">
      <w:numFmt w:val="bullet"/>
      <w:lvlText w:val="•"/>
      <w:lvlJc w:val="left"/>
      <w:pPr>
        <w:ind w:left="7792" w:hanging="720"/>
      </w:pPr>
      <w:rPr>
        <w:rFonts w:hint="default"/>
        <w:lang w:val="en-US" w:eastAsia="en-US" w:bidi="ar-SA"/>
      </w:rPr>
    </w:lvl>
  </w:abstractNum>
  <w:abstractNum w:abstractNumId="19">
    <w:nsid w:val="68DA3285"/>
    <w:multiLevelType w:val="multilevel"/>
    <w:tmpl w:val="68DA3285"/>
    <w:lvl w:ilvl="0">
      <w:start w:val="1"/>
      <w:numFmt w:val="lowerRoman"/>
      <w:lvlText w:val="(%1)"/>
      <w:lvlJc w:val="left"/>
      <w:pPr>
        <w:ind w:left="1867" w:hanging="850"/>
      </w:pPr>
      <w:rPr>
        <w:rFonts w:ascii="Times New Roman" w:eastAsia="Arial MT" w:hAnsi="Times New Roman" w:cs="Times New Roman" w:hint="default"/>
        <w:b w:val="0"/>
        <w:bCs w:val="0"/>
        <w:i w:val="0"/>
        <w:iCs w:val="0"/>
        <w:spacing w:val="-2"/>
        <w:w w:val="100"/>
        <w:sz w:val="22"/>
        <w:szCs w:val="22"/>
        <w:lang w:val="en-US" w:eastAsia="en-US" w:bidi="ar-SA"/>
      </w:rPr>
    </w:lvl>
    <w:lvl w:ilvl="1">
      <w:numFmt w:val="bullet"/>
      <w:lvlText w:val="•"/>
      <w:lvlJc w:val="left"/>
      <w:pPr>
        <w:ind w:left="2609" w:hanging="850"/>
      </w:pPr>
      <w:rPr>
        <w:rFonts w:hint="default"/>
        <w:lang w:val="en-US" w:eastAsia="en-US" w:bidi="ar-SA"/>
      </w:rPr>
    </w:lvl>
    <w:lvl w:ilvl="2">
      <w:numFmt w:val="bullet"/>
      <w:lvlText w:val="•"/>
      <w:lvlJc w:val="left"/>
      <w:pPr>
        <w:ind w:left="3359" w:hanging="850"/>
      </w:pPr>
      <w:rPr>
        <w:rFonts w:hint="default"/>
        <w:lang w:val="en-US" w:eastAsia="en-US" w:bidi="ar-SA"/>
      </w:rPr>
    </w:lvl>
    <w:lvl w:ilvl="3">
      <w:numFmt w:val="bullet"/>
      <w:lvlText w:val="•"/>
      <w:lvlJc w:val="left"/>
      <w:pPr>
        <w:ind w:left="4108" w:hanging="850"/>
      </w:pPr>
      <w:rPr>
        <w:rFonts w:hint="default"/>
        <w:lang w:val="en-US" w:eastAsia="en-US" w:bidi="ar-SA"/>
      </w:rPr>
    </w:lvl>
    <w:lvl w:ilvl="4">
      <w:numFmt w:val="bullet"/>
      <w:lvlText w:val="•"/>
      <w:lvlJc w:val="left"/>
      <w:pPr>
        <w:ind w:left="4858" w:hanging="850"/>
      </w:pPr>
      <w:rPr>
        <w:rFonts w:hint="default"/>
        <w:lang w:val="en-US" w:eastAsia="en-US" w:bidi="ar-SA"/>
      </w:rPr>
    </w:lvl>
    <w:lvl w:ilvl="5">
      <w:numFmt w:val="bullet"/>
      <w:lvlText w:val="•"/>
      <w:lvlJc w:val="left"/>
      <w:pPr>
        <w:ind w:left="5608" w:hanging="850"/>
      </w:pPr>
      <w:rPr>
        <w:rFonts w:hint="default"/>
        <w:lang w:val="en-US" w:eastAsia="en-US" w:bidi="ar-SA"/>
      </w:rPr>
    </w:lvl>
    <w:lvl w:ilvl="6">
      <w:numFmt w:val="bullet"/>
      <w:lvlText w:val="•"/>
      <w:lvlJc w:val="left"/>
      <w:pPr>
        <w:ind w:left="6357" w:hanging="850"/>
      </w:pPr>
      <w:rPr>
        <w:rFonts w:hint="default"/>
        <w:lang w:val="en-US" w:eastAsia="en-US" w:bidi="ar-SA"/>
      </w:rPr>
    </w:lvl>
    <w:lvl w:ilvl="7">
      <w:numFmt w:val="bullet"/>
      <w:lvlText w:val="•"/>
      <w:lvlJc w:val="left"/>
      <w:pPr>
        <w:ind w:left="7107" w:hanging="850"/>
      </w:pPr>
      <w:rPr>
        <w:rFonts w:hint="default"/>
        <w:lang w:val="en-US" w:eastAsia="en-US" w:bidi="ar-SA"/>
      </w:rPr>
    </w:lvl>
    <w:lvl w:ilvl="8">
      <w:numFmt w:val="bullet"/>
      <w:lvlText w:val="•"/>
      <w:lvlJc w:val="left"/>
      <w:pPr>
        <w:ind w:left="7857" w:hanging="850"/>
      </w:pPr>
      <w:rPr>
        <w:rFonts w:hint="default"/>
        <w:lang w:val="en-US" w:eastAsia="en-US" w:bidi="ar-SA"/>
      </w:rPr>
    </w:lvl>
  </w:abstractNum>
  <w:abstractNum w:abstractNumId="20">
    <w:nsid w:val="693D2A0C"/>
    <w:multiLevelType w:val="multilevel"/>
    <w:tmpl w:val="693D2A0C"/>
    <w:lvl w:ilvl="0">
      <w:start w:val="1"/>
      <w:numFmt w:val="lowerRoman"/>
      <w:lvlText w:val="%1."/>
      <w:lvlJc w:val="left"/>
      <w:pPr>
        <w:ind w:left="380" w:hanging="380"/>
        <w:jc w:val="right"/>
      </w:pPr>
      <w:rPr>
        <w:rFonts w:ascii="Times New Roman" w:eastAsia="Arial MT" w:hAnsi="Times New Roman" w:cs="Times New Roman" w:hint="default"/>
        <w:b w:val="0"/>
        <w:bCs w:val="0"/>
        <w:i w:val="0"/>
        <w:iCs w:val="0"/>
        <w:spacing w:val="-2"/>
        <w:w w:val="100"/>
        <w:sz w:val="22"/>
        <w:szCs w:val="22"/>
        <w:lang w:val="en-US" w:eastAsia="en-US" w:bidi="ar-SA"/>
      </w:rPr>
    </w:lvl>
    <w:lvl w:ilvl="1">
      <w:numFmt w:val="bullet"/>
      <w:lvlText w:val="•"/>
      <w:lvlJc w:val="left"/>
      <w:pPr>
        <w:ind w:left="2375" w:hanging="380"/>
      </w:pPr>
      <w:rPr>
        <w:rFonts w:hint="default"/>
        <w:lang w:val="en-US" w:eastAsia="en-US" w:bidi="ar-SA"/>
      </w:rPr>
    </w:lvl>
    <w:lvl w:ilvl="2">
      <w:numFmt w:val="bullet"/>
      <w:lvlText w:val="•"/>
      <w:lvlJc w:val="left"/>
      <w:pPr>
        <w:ind w:left="3151" w:hanging="380"/>
      </w:pPr>
      <w:rPr>
        <w:rFonts w:hint="default"/>
        <w:lang w:val="en-US" w:eastAsia="en-US" w:bidi="ar-SA"/>
      </w:rPr>
    </w:lvl>
    <w:lvl w:ilvl="3">
      <w:numFmt w:val="bullet"/>
      <w:lvlText w:val="•"/>
      <w:lvlJc w:val="left"/>
      <w:pPr>
        <w:ind w:left="3926" w:hanging="380"/>
      </w:pPr>
      <w:rPr>
        <w:rFonts w:hint="default"/>
        <w:lang w:val="en-US" w:eastAsia="en-US" w:bidi="ar-SA"/>
      </w:rPr>
    </w:lvl>
    <w:lvl w:ilvl="4">
      <w:numFmt w:val="bullet"/>
      <w:lvlText w:val="•"/>
      <w:lvlJc w:val="left"/>
      <w:pPr>
        <w:ind w:left="4702" w:hanging="380"/>
      </w:pPr>
      <w:rPr>
        <w:rFonts w:hint="default"/>
        <w:lang w:val="en-US" w:eastAsia="en-US" w:bidi="ar-SA"/>
      </w:rPr>
    </w:lvl>
    <w:lvl w:ilvl="5">
      <w:numFmt w:val="bullet"/>
      <w:lvlText w:val="•"/>
      <w:lvlJc w:val="left"/>
      <w:pPr>
        <w:ind w:left="5478" w:hanging="380"/>
      </w:pPr>
      <w:rPr>
        <w:rFonts w:hint="default"/>
        <w:lang w:val="en-US" w:eastAsia="en-US" w:bidi="ar-SA"/>
      </w:rPr>
    </w:lvl>
    <w:lvl w:ilvl="6">
      <w:numFmt w:val="bullet"/>
      <w:lvlText w:val="•"/>
      <w:lvlJc w:val="left"/>
      <w:pPr>
        <w:ind w:left="6253" w:hanging="380"/>
      </w:pPr>
      <w:rPr>
        <w:rFonts w:hint="default"/>
        <w:lang w:val="en-US" w:eastAsia="en-US" w:bidi="ar-SA"/>
      </w:rPr>
    </w:lvl>
    <w:lvl w:ilvl="7">
      <w:numFmt w:val="bullet"/>
      <w:lvlText w:val="•"/>
      <w:lvlJc w:val="left"/>
      <w:pPr>
        <w:ind w:left="7029" w:hanging="380"/>
      </w:pPr>
      <w:rPr>
        <w:rFonts w:hint="default"/>
        <w:lang w:val="en-US" w:eastAsia="en-US" w:bidi="ar-SA"/>
      </w:rPr>
    </w:lvl>
    <w:lvl w:ilvl="8">
      <w:numFmt w:val="bullet"/>
      <w:lvlText w:val="•"/>
      <w:lvlJc w:val="left"/>
      <w:pPr>
        <w:ind w:left="7805" w:hanging="380"/>
      </w:pPr>
      <w:rPr>
        <w:rFonts w:hint="default"/>
        <w:lang w:val="en-US" w:eastAsia="en-US" w:bidi="ar-SA"/>
      </w:rPr>
    </w:lvl>
  </w:abstractNum>
  <w:abstractNum w:abstractNumId="21">
    <w:nsid w:val="7F5D6B9C"/>
    <w:multiLevelType w:val="multilevel"/>
    <w:tmpl w:val="7F5D6B9C"/>
    <w:lvl w:ilvl="0">
      <w:start w:val="1"/>
      <w:numFmt w:val="lowerRoman"/>
      <w:lvlText w:val="%1."/>
      <w:lvlJc w:val="left"/>
      <w:pPr>
        <w:ind w:left="1605" w:hanging="380"/>
        <w:jc w:val="right"/>
      </w:pPr>
      <w:rPr>
        <w:rFonts w:ascii="Times New Roman" w:eastAsia="Arial MT" w:hAnsi="Times New Roman" w:cs="Times New Roman" w:hint="default"/>
        <w:b w:val="0"/>
        <w:bCs w:val="0"/>
        <w:i w:val="0"/>
        <w:iCs w:val="0"/>
        <w:spacing w:val="-2"/>
        <w:w w:val="100"/>
        <w:sz w:val="22"/>
        <w:szCs w:val="22"/>
        <w:lang w:val="en-US" w:eastAsia="en-US" w:bidi="ar-SA"/>
      </w:rPr>
    </w:lvl>
    <w:lvl w:ilvl="1">
      <w:start w:val="1"/>
      <w:numFmt w:val="lowerLetter"/>
      <w:lvlText w:val="(%2)"/>
      <w:lvlJc w:val="left"/>
      <w:pPr>
        <w:ind w:left="2325" w:hanging="720"/>
      </w:pPr>
      <w:rPr>
        <w:rFonts w:ascii="Times New Roman" w:eastAsia="Arial MT" w:hAnsi="Times New Roman" w:cs="Times New Roman" w:hint="default"/>
        <w:b w:val="0"/>
        <w:bCs w:val="0"/>
        <w:i w:val="0"/>
        <w:iCs w:val="0"/>
        <w:spacing w:val="0"/>
        <w:w w:val="100"/>
        <w:sz w:val="22"/>
        <w:szCs w:val="22"/>
        <w:lang w:val="en-US" w:eastAsia="en-US" w:bidi="ar-SA"/>
      </w:rPr>
    </w:lvl>
    <w:lvl w:ilvl="2">
      <w:numFmt w:val="bullet"/>
      <w:lvlText w:val="•"/>
      <w:lvlJc w:val="left"/>
      <w:pPr>
        <w:ind w:left="3101" w:hanging="720"/>
      </w:pPr>
      <w:rPr>
        <w:rFonts w:hint="default"/>
        <w:lang w:val="en-US" w:eastAsia="en-US" w:bidi="ar-SA"/>
      </w:rPr>
    </w:lvl>
    <w:lvl w:ilvl="3">
      <w:numFmt w:val="bullet"/>
      <w:lvlText w:val="•"/>
      <w:lvlJc w:val="left"/>
      <w:pPr>
        <w:ind w:left="3883" w:hanging="720"/>
      </w:pPr>
      <w:rPr>
        <w:rFonts w:hint="default"/>
        <w:lang w:val="en-US" w:eastAsia="en-US" w:bidi="ar-SA"/>
      </w:rPr>
    </w:lvl>
    <w:lvl w:ilvl="4">
      <w:numFmt w:val="bullet"/>
      <w:lvlText w:val="•"/>
      <w:lvlJc w:val="left"/>
      <w:pPr>
        <w:ind w:left="4665" w:hanging="720"/>
      </w:pPr>
      <w:rPr>
        <w:rFonts w:hint="default"/>
        <w:lang w:val="en-US" w:eastAsia="en-US" w:bidi="ar-SA"/>
      </w:rPr>
    </w:lvl>
    <w:lvl w:ilvl="5">
      <w:numFmt w:val="bullet"/>
      <w:lvlText w:val="•"/>
      <w:lvlJc w:val="left"/>
      <w:pPr>
        <w:ind w:left="5447" w:hanging="720"/>
      </w:pPr>
      <w:rPr>
        <w:rFonts w:hint="default"/>
        <w:lang w:val="en-US" w:eastAsia="en-US" w:bidi="ar-SA"/>
      </w:rPr>
    </w:lvl>
    <w:lvl w:ilvl="6">
      <w:numFmt w:val="bullet"/>
      <w:lvlText w:val="•"/>
      <w:lvlJc w:val="left"/>
      <w:pPr>
        <w:ind w:left="6229" w:hanging="720"/>
      </w:pPr>
      <w:rPr>
        <w:rFonts w:hint="default"/>
        <w:lang w:val="en-US" w:eastAsia="en-US" w:bidi="ar-SA"/>
      </w:rPr>
    </w:lvl>
    <w:lvl w:ilvl="7">
      <w:numFmt w:val="bullet"/>
      <w:lvlText w:val="•"/>
      <w:lvlJc w:val="left"/>
      <w:pPr>
        <w:ind w:left="7010" w:hanging="720"/>
      </w:pPr>
      <w:rPr>
        <w:rFonts w:hint="default"/>
        <w:lang w:val="en-US" w:eastAsia="en-US" w:bidi="ar-SA"/>
      </w:rPr>
    </w:lvl>
    <w:lvl w:ilvl="8">
      <w:numFmt w:val="bullet"/>
      <w:lvlText w:val="•"/>
      <w:lvlJc w:val="left"/>
      <w:pPr>
        <w:ind w:left="7792" w:hanging="720"/>
      </w:pPr>
      <w:rPr>
        <w:rFonts w:hint="default"/>
        <w:lang w:val="en-US" w:eastAsia="en-US" w:bidi="ar-SA"/>
      </w:rPr>
    </w:lvl>
  </w:abstractNum>
  <w:num w:numId="1">
    <w:abstractNumId w:val="2"/>
  </w:num>
  <w:num w:numId="2">
    <w:abstractNumId w:val="11"/>
  </w:num>
  <w:num w:numId="3">
    <w:abstractNumId w:val="3"/>
  </w:num>
  <w:num w:numId="4">
    <w:abstractNumId w:val="5"/>
  </w:num>
  <w:num w:numId="5">
    <w:abstractNumId w:val="14"/>
  </w:num>
  <w:num w:numId="6">
    <w:abstractNumId w:val="8"/>
  </w:num>
  <w:num w:numId="7">
    <w:abstractNumId w:val="7"/>
  </w:num>
  <w:num w:numId="8">
    <w:abstractNumId w:val="17"/>
  </w:num>
  <w:num w:numId="9">
    <w:abstractNumId w:val="0"/>
  </w:num>
  <w:num w:numId="10">
    <w:abstractNumId w:val="19"/>
  </w:num>
  <w:num w:numId="11">
    <w:abstractNumId w:val="12"/>
  </w:num>
  <w:num w:numId="12">
    <w:abstractNumId w:val="9"/>
  </w:num>
  <w:num w:numId="13">
    <w:abstractNumId w:val="18"/>
  </w:num>
  <w:num w:numId="14">
    <w:abstractNumId w:val="21"/>
  </w:num>
  <w:num w:numId="15">
    <w:abstractNumId w:val="16"/>
  </w:num>
  <w:num w:numId="16">
    <w:abstractNumId w:val="6"/>
  </w:num>
  <w:num w:numId="17">
    <w:abstractNumId w:val="15"/>
  </w:num>
  <w:num w:numId="18">
    <w:abstractNumId w:val="4"/>
  </w:num>
  <w:num w:numId="19">
    <w:abstractNumId w:val="10"/>
  </w:num>
  <w:num w:numId="20">
    <w:abstractNumId w:val="20"/>
  </w:num>
  <w:num w:numId="21">
    <w:abstractNumId w:val="1"/>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88"/>
  <w:characterSpacingControl w:val="doNotCompress"/>
  <w:footnotePr>
    <w:footnote w:id="0"/>
    <w:footnote w:id="1"/>
  </w:footnotePr>
  <w:endnotePr>
    <w:endnote w:id="0"/>
    <w:endnote w:id="1"/>
  </w:endnotePr>
  <w:compat/>
  <w:rsids>
    <w:rsidRoot w:val="002C3005"/>
    <w:rsid w:val="00005272"/>
    <w:rsid w:val="000100C5"/>
    <w:rsid w:val="00011E69"/>
    <w:rsid w:val="00014532"/>
    <w:rsid w:val="00034123"/>
    <w:rsid w:val="000A3034"/>
    <w:rsid w:val="000A57E4"/>
    <w:rsid w:val="000A6C26"/>
    <w:rsid w:val="000B4C48"/>
    <w:rsid w:val="000E7318"/>
    <w:rsid w:val="000F2735"/>
    <w:rsid w:val="00105737"/>
    <w:rsid w:val="0010645A"/>
    <w:rsid w:val="00120A94"/>
    <w:rsid w:val="00133058"/>
    <w:rsid w:val="00147CA9"/>
    <w:rsid w:val="001503C0"/>
    <w:rsid w:val="001576DD"/>
    <w:rsid w:val="001619DD"/>
    <w:rsid w:val="00171451"/>
    <w:rsid w:val="00181AE4"/>
    <w:rsid w:val="0018292F"/>
    <w:rsid w:val="001B7BCD"/>
    <w:rsid w:val="001F27ED"/>
    <w:rsid w:val="001F5407"/>
    <w:rsid w:val="0022411F"/>
    <w:rsid w:val="0027424A"/>
    <w:rsid w:val="00292F3F"/>
    <w:rsid w:val="00294679"/>
    <w:rsid w:val="002C3005"/>
    <w:rsid w:val="002D4316"/>
    <w:rsid w:val="0031684D"/>
    <w:rsid w:val="00382443"/>
    <w:rsid w:val="00384778"/>
    <w:rsid w:val="003A6074"/>
    <w:rsid w:val="004033EE"/>
    <w:rsid w:val="00422973"/>
    <w:rsid w:val="004833A6"/>
    <w:rsid w:val="0048407F"/>
    <w:rsid w:val="004B066A"/>
    <w:rsid w:val="004B2740"/>
    <w:rsid w:val="004C7DE9"/>
    <w:rsid w:val="004E4514"/>
    <w:rsid w:val="00503C41"/>
    <w:rsid w:val="00524CB2"/>
    <w:rsid w:val="00533A7F"/>
    <w:rsid w:val="00543BC9"/>
    <w:rsid w:val="0057317B"/>
    <w:rsid w:val="00581190"/>
    <w:rsid w:val="005A2051"/>
    <w:rsid w:val="005B1517"/>
    <w:rsid w:val="005B1778"/>
    <w:rsid w:val="005B64E5"/>
    <w:rsid w:val="005C2E37"/>
    <w:rsid w:val="005E7578"/>
    <w:rsid w:val="006044EA"/>
    <w:rsid w:val="00606C4B"/>
    <w:rsid w:val="00627B42"/>
    <w:rsid w:val="00653F2C"/>
    <w:rsid w:val="0065551B"/>
    <w:rsid w:val="00664557"/>
    <w:rsid w:val="00681213"/>
    <w:rsid w:val="006C5761"/>
    <w:rsid w:val="007730CD"/>
    <w:rsid w:val="007C3D9C"/>
    <w:rsid w:val="007E68CF"/>
    <w:rsid w:val="00846E07"/>
    <w:rsid w:val="00857B15"/>
    <w:rsid w:val="00881A11"/>
    <w:rsid w:val="008A0113"/>
    <w:rsid w:val="008D3EA2"/>
    <w:rsid w:val="008D4D9D"/>
    <w:rsid w:val="00932E0F"/>
    <w:rsid w:val="00956356"/>
    <w:rsid w:val="009A02F1"/>
    <w:rsid w:val="009B5CA8"/>
    <w:rsid w:val="009E0E89"/>
    <w:rsid w:val="00A654B3"/>
    <w:rsid w:val="00A71B5E"/>
    <w:rsid w:val="00A752AE"/>
    <w:rsid w:val="00AA22FA"/>
    <w:rsid w:val="00AD59DD"/>
    <w:rsid w:val="00AF23F9"/>
    <w:rsid w:val="00AF4916"/>
    <w:rsid w:val="00AF7166"/>
    <w:rsid w:val="00AF7A3B"/>
    <w:rsid w:val="00B44814"/>
    <w:rsid w:val="00B76496"/>
    <w:rsid w:val="00B96E0E"/>
    <w:rsid w:val="00BB608F"/>
    <w:rsid w:val="00BB7667"/>
    <w:rsid w:val="00BD02E8"/>
    <w:rsid w:val="00BF7307"/>
    <w:rsid w:val="00C0024C"/>
    <w:rsid w:val="00C10E16"/>
    <w:rsid w:val="00C21027"/>
    <w:rsid w:val="00C4716B"/>
    <w:rsid w:val="00C62871"/>
    <w:rsid w:val="00C72BC1"/>
    <w:rsid w:val="00C86B39"/>
    <w:rsid w:val="00D412E9"/>
    <w:rsid w:val="00D60B85"/>
    <w:rsid w:val="00D85BE0"/>
    <w:rsid w:val="00E15F7B"/>
    <w:rsid w:val="00E30C9E"/>
    <w:rsid w:val="00E3790D"/>
    <w:rsid w:val="00E9551B"/>
    <w:rsid w:val="00EA6FF4"/>
    <w:rsid w:val="00EB2E7F"/>
    <w:rsid w:val="00EB5296"/>
    <w:rsid w:val="00ED1343"/>
    <w:rsid w:val="00ED2BC4"/>
    <w:rsid w:val="00EF1FB0"/>
    <w:rsid w:val="00EF5EA6"/>
    <w:rsid w:val="00F03ABA"/>
    <w:rsid w:val="00F05223"/>
    <w:rsid w:val="00F66EFC"/>
    <w:rsid w:val="00F837A5"/>
    <w:rsid w:val="00FC52D8"/>
    <w:rsid w:val="00FC7288"/>
    <w:rsid w:val="00FD0192"/>
    <w:rsid w:val="36C350EF"/>
    <w:rsid w:val="45DB2D29"/>
    <w:rsid w:val="468A7319"/>
    <w:rsid w:val="6C42327E"/>
    <w:rsid w:val="6F6952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Vrind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qFormat="1"/>
    <w:lsdException w:name="footer" w:semiHidden="0" w:qFormat="1"/>
    <w:lsdException w:name="caption" w:uiPriority="35" w:qFormat="1"/>
    <w:lsdException w:name="footnote reference" w:semiHidden="0" w:unhideWhenUsed="0"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532"/>
    <w:pPr>
      <w:widowControl w:val="0"/>
      <w:spacing w:after="200" w:line="276" w:lineRule="auto"/>
    </w:pPr>
    <w:rPr>
      <w:rFonts w:cs="Times New Roman"/>
      <w:sz w:val="22"/>
      <w:szCs w:val="22"/>
    </w:rPr>
  </w:style>
  <w:style w:type="paragraph" w:styleId="Heading3">
    <w:name w:val="heading 3"/>
    <w:basedOn w:val="Normal"/>
    <w:link w:val="Heading3Char"/>
    <w:uiPriority w:val="9"/>
    <w:qFormat/>
    <w:rsid w:val="00014532"/>
    <w:pPr>
      <w:widowControl/>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014532"/>
    <w:pPr>
      <w:widowControl/>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014532"/>
    <w:pPr>
      <w:spacing w:after="0" w:line="240" w:lineRule="auto"/>
    </w:pPr>
    <w:rPr>
      <w:rFonts w:ascii="Segoe UI" w:hAnsi="Segoe UI"/>
      <w:sz w:val="18"/>
      <w:szCs w:val="18"/>
    </w:rPr>
  </w:style>
  <w:style w:type="paragraph" w:styleId="BodyText">
    <w:name w:val="Body Text"/>
    <w:basedOn w:val="Normal"/>
    <w:link w:val="BodyTextChar"/>
    <w:uiPriority w:val="1"/>
    <w:qFormat/>
    <w:rsid w:val="00014532"/>
    <w:pPr>
      <w:autoSpaceDE w:val="0"/>
      <w:autoSpaceDN w:val="0"/>
      <w:spacing w:after="0" w:line="240" w:lineRule="auto"/>
      <w:ind w:left="1605"/>
      <w:jc w:val="both"/>
    </w:pPr>
    <w:rPr>
      <w:rFonts w:ascii="Arial MT" w:eastAsia="Arial MT" w:hAnsi="Arial MT"/>
      <w:sz w:val="20"/>
      <w:szCs w:val="20"/>
    </w:rPr>
  </w:style>
  <w:style w:type="character" w:styleId="CommentReference">
    <w:name w:val="annotation reference"/>
    <w:uiPriority w:val="99"/>
    <w:semiHidden/>
    <w:unhideWhenUsed/>
    <w:qFormat/>
    <w:rsid w:val="00014532"/>
    <w:rPr>
      <w:sz w:val="16"/>
      <w:szCs w:val="16"/>
    </w:rPr>
  </w:style>
  <w:style w:type="paragraph" w:styleId="CommentText">
    <w:name w:val="annotation text"/>
    <w:basedOn w:val="Normal"/>
    <w:link w:val="CommentTextChar"/>
    <w:uiPriority w:val="99"/>
    <w:unhideWhenUsed/>
    <w:qFormat/>
    <w:rsid w:val="0001453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014532"/>
    <w:rPr>
      <w:b/>
      <w:bCs/>
    </w:rPr>
  </w:style>
  <w:style w:type="paragraph" w:styleId="Footer">
    <w:name w:val="footer"/>
    <w:basedOn w:val="Normal"/>
    <w:link w:val="FooterChar"/>
    <w:uiPriority w:val="99"/>
    <w:unhideWhenUsed/>
    <w:qFormat/>
    <w:rsid w:val="00014532"/>
    <w:pPr>
      <w:tabs>
        <w:tab w:val="center" w:pos="4680"/>
        <w:tab w:val="right" w:pos="9360"/>
      </w:tabs>
      <w:spacing w:after="0" w:line="240" w:lineRule="auto"/>
    </w:pPr>
    <w:rPr>
      <w:sz w:val="20"/>
      <w:szCs w:val="20"/>
    </w:rPr>
  </w:style>
  <w:style w:type="character" w:styleId="FootnoteReference">
    <w:name w:val="footnote reference"/>
    <w:uiPriority w:val="99"/>
    <w:qFormat/>
    <w:rsid w:val="00014532"/>
    <w:rPr>
      <w:vertAlign w:val="superscript"/>
    </w:rPr>
  </w:style>
  <w:style w:type="paragraph" w:styleId="FootnoteText">
    <w:name w:val="footnote text"/>
    <w:basedOn w:val="Normal"/>
    <w:link w:val="FootnoteTextChar"/>
    <w:uiPriority w:val="99"/>
    <w:unhideWhenUsed/>
    <w:qFormat/>
    <w:rsid w:val="00014532"/>
    <w:pPr>
      <w:widowControl/>
      <w:spacing w:after="0" w:line="240" w:lineRule="auto"/>
      <w:ind w:left="360" w:hanging="360"/>
      <w:jc w:val="both"/>
    </w:pPr>
    <w:rPr>
      <w:rFonts w:ascii="Times New Roman" w:hAnsi="Times New Roman"/>
      <w:sz w:val="20"/>
      <w:szCs w:val="20"/>
    </w:rPr>
  </w:style>
  <w:style w:type="paragraph" w:styleId="Header">
    <w:name w:val="header"/>
    <w:basedOn w:val="Normal"/>
    <w:link w:val="HeaderChar"/>
    <w:uiPriority w:val="99"/>
    <w:semiHidden/>
    <w:unhideWhenUsed/>
    <w:qFormat/>
    <w:rsid w:val="00014532"/>
    <w:pPr>
      <w:tabs>
        <w:tab w:val="center" w:pos="4680"/>
        <w:tab w:val="right" w:pos="9360"/>
      </w:tabs>
      <w:spacing w:after="0" w:line="240" w:lineRule="auto"/>
    </w:pPr>
    <w:rPr>
      <w:sz w:val="20"/>
      <w:szCs w:val="20"/>
    </w:rPr>
  </w:style>
  <w:style w:type="paragraph" w:styleId="NormalWeb">
    <w:name w:val="Normal (Web)"/>
    <w:basedOn w:val="Normal"/>
    <w:uiPriority w:val="99"/>
    <w:unhideWhenUsed/>
    <w:qFormat/>
    <w:rsid w:val="00014532"/>
    <w:pPr>
      <w:widowControl/>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014532"/>
    <w:rPr>
      <w:b/>
      <w:bCs/>
    </w:rPr>
  </w:style>
  <w:style w:type="table" w:styleId="TableGrid">
    <w:name w:val="Table Grid"/>
    <w:basedOn w:val="TableNormal"/>
    <w:uiPriority w:val="59"/>
    <w:qFormat/>
    <w:rsid w:val="00014532"/>
    <w:pPr>
      <w:ind w:left="714" w:hanging="357"/>
    </w:pPr>
    <w:rPr>
      <w:rFonts w:ascii="Times New Roman" w:hAnsi="Times New Roman" w:cs="Times New Roman"/>
      <w:sz w:val="24"/>
      <w:szCs w:val="24"/>
      <w:lang w:bidi="bn-B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qFormat/>
    <w:rsid w:val="00014532"/>
    <w:rPr>
      <w:rFonts w:ascii="Times New Roman" w:eastAsia="Times New Roman" w:hAnsi="Times New Roman" w:cs="Times New Roman"/>
      <w:b/>
      <w:bCs/>
      <w:sz w:val="27"/>
      <w:szCs w:val="27"/>
    </w:rPr>
  </w:style>
  <w:style w:type="character" w:customStyle="1" w:styleId="Heading4Char">
    <w:name w:val="Heading 4 Char"/>
    <w:link w:val="Heading4"/>
    <w:uiPriority w:val="9"/>
    <w:qFormat/>
    <w:rsid w:val="00014532"/>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014532"/>
    <w:pPr>
      <w:ind w:left="720"/>
      <w:contextualSpacing/>
    </w:pPr>
    <w:rPr>
      <w:sz w:val="20"/>
      <w:szCs w:val="20"/>
    </w:rPr>
  </w:style>
  <w:style w:type="character" w:customStyle="1" w:styleId="HeaderChar">
    <w:name w:val="Header Char"/>
    <w:link w:val="Header"/>
    <w:uiPriority w:val="99"/>
    <w:semiHidden/>
    <w:qFormat/>
    <w:rsid w:val="00014532"/>
    <w:rPr>
      <w:rFonts w:ascii="Calibri" w:eastAsia="Calibri" w:hAnsi="Calibri" w:cs="Times New Roman"/>
    </w:rPr>
  </w:style>
  <w:style w:type="character" w:customStyle="1" w:styleId="FooterChar">
    <w:name w:val="Footer Char"/>
    <w:link w:val="Footer"/>
    <w:uiPriority w:val="99"/>
    <w:qFormat/>
    <w:rsid w:val="00014532"/>
    <w:rPr>
      <w:rFonts w:ascii="Calibri" w:eastAsia="Calibri" w:hAnsi="Calibri" w:cs="Times New Roman"/>
    </w:rPr>
  </w:style>
  <w:style w:type="character" w:customStyle="1" w:styleId="ListParagraphChar">
    <w:name w:val="List Paragraph Char"/>
    <w:link w:val="ListParagraph"/>
    <w:uiPriority w:val="34"/>
    <w:qFormat/>
    <w:locked/>
    <w:rsid w:val="00014532"/>
    <w:rPr>
      <w:rFonts w:ascii="Calibri" w:eastAsia="Calibri" w:hAnsi="Calibri" w:cs="Times New Roman"/>
    </w:rPr>
  </w:style>
  <w:style w:type="character" w:customStyle="1" w:styleId="BalloonTextChar">
    <w:name w:val="Balloon Text Char"/>
    <w:link w:val="BalloonText"/>
    <w:uiPriority w:val="99"/>
    <w:semiHidden/>
    <w:qFormat/>
    <w:rsid w:val="00014532"/>
    <w:rPr>
      <w:rFonts w:ascii="Segoe UI" w:eastAsia="Calibri" w:hAnsi="Segoe UI" w:cs="Segoe UI"/>
      <w:sz w:val="18"/>
      <w:szCs w:val="18"/>
    </w:rPr>
  </w:style>
  <w:style w:type="paragraph" w:customStyle="1" w:styleId="Body">
    <w:name w:val="Body"/>
    <w:qFormat/>
    <w:rsid w:val="00014532"/>
    <w:pPr>
      <w:spacing w:after="160" w:line="259" w:lineRule="auto"/>
    </w:pPr>
    <w:rPr>
      <w:rFonts w:cs="Calibri"/>
      <w:color w:val="000000"/>
      <w:sz w:val="22"/>
      <w:szCs w:val="22"/>
      <w:u w:color="000000"/>
    </w:rPr>
  </w:style>
  <w:style w:type="character" w:customStyle="1" w:styleId="CommentTextChar">
    <w:name w:val="Comment Text Char"/>
    <w:link w:val="CommentText"/>
    <w:uiPriority w:val="99"/>
    <w:qFormat/>
    <w:rsid w:val="00014532"/>
    <w:rPr>
      <w:rFonts w:ascii="Calibri" w:eastAsia="Calibri" w:hAnsi="Calibri" w:cs="Times New Roman"/>
      <w:sz w:val="20"/>
      <w:szCs w:val="20"/>
    </w:rPr>
  </w:style>
  <w:style w:type="character" w:customStyle="1" w:styleId="CommentSubjectChar">
    <w:name w:val="Comment Subject Char"/>
    <w:link w:val="CommentSubject"/>
    <w:uiPriority w:val="99"/>
    <w:semiHidden/>
    <w:qFormat/>
    <w:rsid w:val="00014532"/>
    <w:rPr>
      <w:rFonts w:ascii="Calibri" w:eastAsia="Calibri" w:hAnsi="Calibri" w:cs="Times New Roman"/>
      <w:b/>
      <w:bCs/>
      <w:sz w:val="20"/>
      <w:szCs w:val="20"/>
    </w:rPr>
  </w:style>
  <w:style w:type="character" w:customStyle="1" w:styleId="FootnoteTextChar">
    <w:name w:val="Footnote Text Char"/>
    <w:link w:val="FootnoteText"/>
    <w:uiPriority w:val="99"/>
    <w:qFormat/>
    <w:rsid w:val="00014532"/>
    <w:rPr>
      <w:rFonts w:ascii="Times New Roman" w:eastAsia="Calibri" w:hAnsi="Times New Roman" w:cs="Times New Roman"/>
      <w:sz w:val="20"/>
      <w:szCs w:val="20"/>
    </w:rPr>
  </w:style>
  <w:style w:type="paragraph" w:customStyle="1" w:styleId="Default">
    <w:name w:val="Default"/>
    <w:qFormat/>
    <w:rsid w:val="00014532"/>
    <w:pPr>
      <w:autoSpaceDE w:val="0"/>
      <w:autoSpaceDN w:val="0"/>
      <w:adjustRightInd w:val="0"/>
    </w:pPr>
    <w:rPr>
      <w:rFonts w:ascii="Times New Roman" w:hAnsi="Times New Roman" w:cs="Times New Roman"/>
      <w:color w:val="000000"/>
      <w:sz w:val="24"/>
      <w:szCs w:val="24"/>
    </w:rPr>
  </w:style>
  <w:style w:type="character" w:customStyle="1" w:styleId="BodyTextChar">
    <w:name w:val="Body Text Char"/>
    <w:link w:val="BodyText"/>
    <w:uiPriority w:val="1"/>
    <w:qFormat/>
    <w:rsid w:val="00014532"/>
    <w:rPr>
      <w:rFonts w:ascii="Arial MT" w:eastAsia="Arial MT" w:hAnsi="Arial MT" w:cs="Arial MT"/>
    </w:rPr>
  </w:style>
  <w:style w:type="paragraph" w:customStyle="1" w:styleId="Revision1">
    <w:name w:val="Revision1"/>
    <w:hidden/>
    <w:uiPriority w:val="99"/>
    <w:unhideWhenUsed/>
    <w:rsid w:val="00014532"/>
    <w:rPr>
      <w:rFonts w:cs="Times New Roman"/>
      <w:sz w:val="22"/>
      <w:szCs w:val="22"/>
    </w:rPr>
  </w:style>
  <w:style w:type="paragraph" w:styleId="Revision">
    <w:name w:val="Revision"/>
    <w:hidden/>
    <w:uiPriority w:val="99"/>
    <w:unhideWhenUsed/>
    <w:rsid w:val="000100C5"/>
    <w:rPr>
      <w:rFonts w:cs="Times New Roman"/>
      <w:sz w:val="22"/>
      <w:szCs w:val="22"/>
    </w:rPr>
  </w:style>
</w:styles>
</file>

<file path=word/webSettings.xml><?xml version="1.0" encoding="utf-8"?>
<w:webSettings xmlns:r="http://schemas.openxmlformats.org/officeDocument/2006/relationships" xmlns:w="http://schemas.openxmlformats.org/wordprocessingml/2006/main">
  <w:divs>
    <w:div w:id="1969122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1021C0-615D-401F-A0AF-986E093E1BF7}">
  <ds:schemaRefs>
    <ds:schemaRef ds:uri="http://schemas.microsoft.com/sharepoint/v3/contenttype/forms"/>
  </ds:schemaRefs>
</ds:datastoreItem>
</file>

<file path=customXml/itemProps2.xml><?xml version="1.0" encoding="utf-8"?>
<ds:datastoreItem xmlns:ds="http://schemas.openxmlformats.org/officeDocument/2006/customXml" ds:itemID="{444AF795-227D-40FF-B7DE-92DB7CFAA340}"/>
</file>

<file path=customXml/itemProps3.xml><?xml version="1.0" encoding="utf-8"?>
<ds:datastoreItem xmlns:ds="http://schemas.openxmlformats.org/officeDocument/2006/customXml" ds:itemID="{F8219F04-0AEE-4BEE-B380-8ACE9B39F46D}">
  <ds:schemaRefs>
    <ds:schemaRef ds:uri="http://schemas.openxmlformats.org/officeDocument/2006/bibliography"/>
  </ds:schemaRefs>
</ds:datastoreItem>
</file>

<file path=customXml/itemProps4.xml><?xml version="1.0" encoding="utf-8"?>
<ds:datastoreItem xmlns:ds="http://schemas.openxmlformats.org/officeDocument/2006/customXml" ds:itemID="{A6426BBE-DC75-44C1-9937-40F6867DC65D}">
  <ds:schemaRefs>
    <ds:schemaRef ds:uri="http://schemas.microsoft.com/office/2006/metadata/propertie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11275</Words>
  <Characters>64271</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75396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Pritom</cp:lastModifiedBy>
  <cp:revision>5</cp:revision>
  <cp:lastPrinted>2025-07-28T14:58:00Z</cp:lastPrinted>
  <dcterms:created xsi:type="dcterms:W3CDTF">2026-05-14T08:54:00Z</dcterms:created>
  <dcterms:modified xsi:type="dcterms:W3CDTF">2026-05-17T04:58:00Z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CFEC788D21CA4890943EDEE7D4742289_12</vt:lpwstr>
  </property>
  <property fmtid="{D5CDD505-2E9C-101B-9397-08002B2CF9AE}" pid="4" name="GrammarlyDocumentId">
    <vt:lpwstr>941c27a7-5785-4b41-bdf6-471fe4000bf2</vt:lpwstr>
  </property>
  <property fmtid="{D5CDD505-2E9C-101B-9397-08002B2CF9AE}" pid="5" name="ContentTypeId">
    <vt:lpwstr>0x01010022D807DA5079DD4F8FC962D9402EEFD8</vt:lpwstr>
  </property>
</Properties>
</file>